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3079" w:rsidRPr="00044FC3" w:rsidRDefault="00044FC3" w:rsidP="00BB432C">
      <w:pPr>
        <w:spacing w:line="240" w:lineRule="auto"/>
        <w:jc w:val="left"/>
        <w:rPr>
          <w:rFonts w:ascii="Antique Olive" w:hAnsi="Antique Olive" w:cs="Arial"/>
          <w:b/>
          <w:bCs/>
          <w:color w:val="CE003C"/>
          <w:sz w:val="114"/>
          <w:szCs w:val="114"/>
        </w:rPr>
      </w:pPr>
      <w:bookmarkStart w:id="0" w:name="_Toc247820430"/>
      <w:r>
        <w:rPr>
          <w:rFonts w:ascii="Antique Olive" w:hAnsi="Antique Olive" w:cs="Arial"/>
          <w:b/>
          <w:bCs/>
          <w:color w:val="CE003C"/>
          <w:sz w:val="114"/>
          <w:szCs w:val="114"/>
        </w:rPr>
        <w:t>Rapport</w:t>
      </w:r>
      <w:r>
        <w:rPr>
          <w:rFonts w:ascii="Antique Olive" w:hAnsi="Antique Olive" w:cs="Arial"/>
          <w:b/>
          <w:bCs/>
          <w:color w:val="CE003C"/>
          <w:sz w:val="114"/>
          <w:szCs w:val="114"/>
        </w:rPr>
        <w:br/>
        <w:t>sur c</w:t>
      </w:r>
      <w:r w:rsidRPr="00044FC3">
        <w:rPr>
          <w:rFonts w:ascii="Antique Olive" w:hAnsi="Antique Olive" w:cs="Arial"/>
          <w:b/>
          <w:bCs/>
          <w:color w:val="CE003C"/>
          <w:sz w:val="114"/>
          <w:szCs w:val="114"/>
        </w:rPr>
        <w:t>ompte</w:t>
      </w:r>
      <w:r>
        <w:rPr>
          <w:rFonts w:ascii="Antique Olive" w:hAnsi="Antique Olive" w:cs="Arial"/>
          <w:b/>
          <w:bCs/>
          <w:color w:val="CE003C"/>
          <w:sz w:val="114"/>
          <w:szCs w:val="114"/>
        </w:rPr>
        <w:br/>
      </w:r>
      <w:r w:rsidRPr="00044FC3">
        <w:rPr>
          <w:rFonts w:ascii="Antique Olive" w:hAnsi="Antique Olive" w:cs="Arial"/>
          <w:b/>
          <w:bCs/>
          <w:color w:val="CE003C"/>
          <w:sz w:val="114"/>
          <w:szCs w:val="114"/>
        </w:rPr>
        <w:t>administratif</w:t>
      </w:r>
    </w:p>
    <w:p w:rsidR="002F3079" w:rsidRPr="002B0756" w:rsidRDefault="002F3079" w:rsidP="002F3079">
      <w:pPr>
        <w:spacing w:line="240" w:lineRule="auto"/>
        <w:rPr>
          <w:rFonts w:ascii="Arial" w:hAnsi="Arial" w:cs="Arial"/>
          <w:b/>
          <w:bCs/>
          <w:color w:val="CE003C"/>
          <w:sz w:val="40"/>
          <w:szCs w:val="40"/>
        </w:rPr>
      </w:pPr>
    </w:p>
    <w:p w:rsidR="002F3079" w:rsidRPr="0013511E" w:rsidRDefault="002F3079" w:rsidP="002F3079">
      <w:pPr>
        <w:spacing w:line="240" w:lineRule="auto"/>
        <w:rPr>
          <w:rFonts w:ascii="Antique Olive" w:hAnsi="Antique Olive" w:cs="Arial"/>
          <w:bCs/>
          <w:color w:val="CE003C"/>
          <w:sz w:val="32"/>
          <w:szCs w:val="32"/>
        </w:rPr>
      </w:pPr>
      <w:r w:rsidRPr="0013511E">
        <w:rPr>
          <w:rFonts w:ascii="Antique Olive" w:hAnsi="Antique Olive" w:cs="Arial"/>
          <w:bCs/>
          <w:color w:val="CE003C"/>
          <w:sz w:val="32"/>
          <w:szCs w:val="32"/>
        </w:rPr>
        <w:t>Présenté par Gérard Cosme</w:t>
      </w:r>
    </w:p>
    <w:p w:rsidR="002F3079" w:rsidRPr="0013511E" w:rsidRDefault="002F3079" w:rsidP="002F3079">
      <w:pPr>
        <w:spacing w:line="240" w:lineRule="auto"/>
        <w:jc w:val="left"/>
        <w:rPr>
          <w:rFonts w:ascii="Antique Olive" w:hAnsi="Antique Olive" w:cs="Arial"/>
          <w:bCs/>
          <w:color w:val="CE003C"/>
          <w:sz w:val="32"/>
          <w:szCs w:val="32"/>
        </w:rPr>
      </w:pPr>
      <w:r w:rsidRPr="0013511E">
        <w:rPr>
          <w:rFonts w:ascii="Antique Olive" w:hAnsi="Antique Olive" w:cs="Arial"/>
          <w:bCs/>
          <w:color w:val="CE003C"/>
          <w:sz w:val="32"/>
          <w:szCs w:val="32"/>
        </w:rPr>
        <w:t xml:space="preserve">Président </w:t>
      </w:r>
      <w:r>
        <w:rPr>
          <w:rFonts w:ascii="Antique Olive" w:hAnsi="Antique Olive" w:cs="Arial"/>
          <w:bCs/>
          <w:color w:val="CE003C"/>
          <w:sz w:val="32"/>
          <w:szCs w:val="32"/>
        </w:rPr>
        <w:t>de l’EPT Est Ensemble</w:t>
      </w:r>
      <w:r>
        <w:rPr>
          <w:rFonts w:ascii="Antique Olive" w:hAnsi="Antique Olive" w:cs="Arial"/>
          <w:bCs/>
          <w:color w:val="CE003C"/>
          <w:sz w:val="32"/>
          <w:szCs w:val="32"/>
        </w:rPr>
        <w:br/>
      </w:r>
      <w:r w:rsidRPr="0013511E">
        <w:rPr>
          <w:rFonts w:ascii="Antique Olive" w:hAnsi="Antique Olive" w:cs="Arial"/>
          <w:bCs/>
          <w:color w:val="CE003C"/>
          <w:sz w:val="32"/>
          <w:szCs w:val="32"/>
        </w:rPr>
        <w:t xml:space="preserve">et </w:t>
      </w:r>
      <w:r w:rsidR="00902FEA">
        <w:rPr>
          <w:rFonts w:ascii="Antique Olive" w:hAnsi="Antique Olive" w:cs="Arial"/>
          <w:bCs/>
          <w:color w:val="CE003C"/>
          <w:sz w:val="32"/>
          <w:szCs w:val="32"/>
        </w:rPr>
        <w:t xml:space="preserve">François </w:t>
      </w:r>
      <w:proofErr w:type="spellStart"/>
      <w:r w:rsidR="00902FEA">
        <w:rPr>
          <w:rFonts w:ascii="Antique Olive" w:hAnsi="Antique Olive" w:cs="Arial"/>
          <w:bCs/>
          <w:color w:val="CE003C"/>
          <w:sz w:val="32"/>
          <w:szCs w:val="32"/>
        </w:rPr>
        <w:t>Birbè</w:t>
      </w:r>
      <w:r>
        <w:rPr>
          <w:rFonts w:ascii="Antique Olive" w:hAnsi="Antique Olive" w:cs="Arial"/>
          <w:bCs/>
          <w:color w:val="CE003C"/>
          <w:sz w:val="32"/>
          <w:szCs w:val="32"/>
        </w:rPr>
        <w:t>s</w:t>
      </w:r>
      <w:proofErr w:type="spellEnd"/>
    </w:p>
    <w:p w:rsidR="002F3079" w:rsidRPr="0013511E" w:rsidRDefault="002F3079" w:rsidP="002F3079">
      <w:pPr>
        <w:spacing w:line="240" w:lineRule="auto"/>
        <w:rPr>
          <w:rFonts w:ascii="Antique Olive" w:hAnsi="Antique Olive" w:cs="Arial"/>
          <w:noProof/>
          <w:color w:val="CE003C"/>
          <w:sz w:val="32"/>
          <w:szCs w:val="32"/>
        </w:rPr>
      </w:pPr>
      <w:r w:rsidRPr="0013511E">
        <w:rPr>
          <w:rFonts w:ascii="Antique Olive" w:hAnsi="Antique Olive" w:cs="Arial"/>
          <w:bCs/>
          <w:color w:val="CE003C"/>
          <w:sz w:val="32"/>
          <w:szCs w:val="32"/>
        </w:rPr>
        <w:t>Vice-président délégué aux finances</w:t>
      </w:r>
      <w:r w:rsidRPr="0013511E">
        <w:rPr>
          <w:rFonts w:ascii="Antique Olive" w:hAnsi="Antique Olive" w:cs="Arial"/>
          <w:bCs/>
          <w:color w:val="CE003C"/>
          <w:sz w:val="32"/>
          <w:szCs w:val="32"/>
        </w:rPr>
        <w:fldChar w:fldCharType="begin"/>
      </w:r>
      <w:r w:rsidRPr="0013511E">
        <w:rPr>
          <w:rFonts w:ascii="Antique Olive" w:hAnsi="Antique Olive" w:cs="Arial"/>
          <w:bCs/>
          <w:color w:val="CE003C"/>
          <w:sz w:val="32"/>
          <w:szCs w:val="32"/>
        </w:rPr>
        <w:instrText xml:space="preserve"> TOC \o "1-3" \h \z \u </w:instrText>
      </w:r>
      <w:r w:rsidRPr="0013511E">
        <w:rPr>
          <w:rFonts w:ascii="Antique Olive" w:hAnsi="Antique Olive" w:cs="Arial"/>
          <w:bCs/>
          <w:color w:val="CE003C"/>
          <w:sz w:val="32"/>
          <w:szCs w:val="32"/>
        </w:rPr>
        <w:fldChar w:fldCharType="separate"/>
      </w:r>
    </w:p>
    <w:p w:rsidR="002F3079" w:rsidRPr="0013511E" w:rsidRDefault="002F3079" w:rsidP="002F3079">
      <w:pPr>
        <w:spacing w:line="240" w:lineRule="auto"/>
        <w:rPr>
          <w:rFonts w:ascii="Antique Olive" w:hAnsi="Antique Olive" w:cs="Arial"/>
          <w:noProof/>
          <w:color w:val="CE003C"/>
          <w:sz w:val="32"/>
          <w:szCs w:val="32"/>
        </w:rPr>
      </w:pPr>
    </w:p>
    <w:p w:rsidR="002F3079" w:rsidRPr="0013511E" w:rsidRDefault="002F3079" w:rsidP="002F3079">
      <w:pPr>
        <w:spacing w:line="240" w:lineRule="auto"/>
        <w:rPr>
          <w:rFonts w:ascii="Antique Olive" w:hAnsi="Antique Olive" w:cs="Arial"/>
          <w:noProof/>
          <w:color w:val="CE003C"/>
          <w:sz w:val="32"/>
          <w:szCs w:val="32"/>
        </w:rPr>
      </w:pPr>
    </w:p>
    <w:p w:rsidR="002F3079" w:rsidRPr="0013511E" w:rsidRDefault="002F3079" w:rsidP="002F3079">
      <w:pPr>
        <w:spacing w:line="240" w:lineRule="auto"/>
        <w:rPr>
          <w:rFonts w:ascii="Antique Olive" w:hAnsi="Antique Olive" w:cs="Arial"/>
          <w:noProof/>
          <w:color w:val="CE003C"/>
          <w:sz w:val="32"/>
          <w:szCs w:val="32"/>
        </w:rPr>
      </w:pPr>
    </w:p>
    <w:p w:rsidR="002F3079" w:rsidRPr="0013511E" w:rsidRDefault="002F3079" w:rsidP="002F3079">
      <w:pPr>
        <w:spacing w:line="240" w:lineRule="auto"/>
        <w:rPr>
          <w:rFonts w:ascii="Antique Olive" w:hAnsi="Antique Olive" w:cs="Arial"/>
          <w:noProof/>
          <w:color w:val="CE003C"/>
          <w:sz w:val="32"/>
          <w:szCs w:val="32"/>
        </w:rPr>
      </w:pPr>
    </w:p>
    <w:p w:rsidR="002F3079" w:rsidRPr="0013511E" w:rsidRDefault="002F3079" w:rsidP="002F3079">
      <w:pPr>
        <w:spacing w:line="240" w:lineRule="auto"/>
        <w:rPr>
          <w:rFonts w:ascii="Antique Olive" w:hAnsi="Antique Olive" w:cs="Arial"/>
          <w:noProof/>
          <w:color w:val="CE003C"/>
          <w:sz w:val="32"/>
          <w:szCs w:val="32"/>
        </w:rPr>
      </w:pPr>
      <w:r w:rsidRPr="0013511E">
        <w:rPr>
          <w:rFonts w:ascii="Antique Olive" w:hAnsi="Antique Olive" w:cs="Arial"/>
          <w:noProof/>
          <w:color w:val="CE003C"/>
          <w:sz w:val="32"/>
          <w:szCs w:val="32"/>
          <w:lang w:eastAsia="fr-FR"/>
        </w:rPr>
        <mc:AlternateContent>
          <mc:Choice Requires="wps">
            <w:drawing>
              <wp:anchor distT="0" distB="0" distL="114300" distR="114300" simplePos="0" relativeHeight="251662336" behindDoc="0" locked="0" layoutInCell="1" allowOverlap="1" wp14:anchorId="51849FB9" wp14:editId="67F06315">
                <wp:simplePos x="0" y="0"/>
                <wp:positionH relativeFrom="column">
                  <wp:posOffset>4859655</wp:posOffset>
                </wp:positionH>
                <wp:positionV relativeFrom="paragraph">
                  <wp:posOffset>15240</wp:posOffset>
                </wp:positionV>
                <wp:extent cx="2016760" cy="906145"/>
                <wp:effectExtent l="0" t="4128" r="0" b="0"/>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16760" cy="906145"/>
                        </a:xfrm>
                        <a:prstGeom prst="rect">
                          <a:avLst/>
                        </a:prstGeom>
                        <a:solidFill>
                          <a:srgbClr val="FFFFFF"/>
                        </a:solidFill>
                        <a:ln w="9525">
                          <a:noFill/>
                          <a:miter lim="800000"/>
                          <a:headEnd/>
                          <a:tailEnd/>
                        </a:ln>
                      </wps:spPr>
                      <wps:txbx>
                        <w:txbxContent>
                          <w:p w:rsidR="00C7509A" w:rsidRPr="00C32D91" w:rsidRDefault="00C7509A" w:rsidP="002F3079">
                            <w:pPr>
                              <w:jc w:val="center"/>
                              <w:rPr>
                                <w:rFonts w:ascii="Arial" w:hAnsi="Arial" w:cs="Arial"/>
                                <w:b/>
                                <w:color w:val="CE003C"/>
                                <w:sz w:val="96"/>
                                <w:szCs w:val="72"/>
                              </w:rPr>
                            </w:pPr>
                            <w:r w:rsidRPr="00C32D91">
                              <w:rPr>
                                <w:rFonts w:ascii="Arial" w:hAnsi="Arial" w:cs="Arial"/>
                                <w:b/>
                                <w:color w:val="CE003C"/>
                                <w:sz w:val="96"/>
                                <w:szCs w:val="72"/>
                              </w:rPr>
                              <w:t>201</w:t>
                            </w:r>
                            <w:r>
                              <w:rPr>
                                <w:rFonts w:ascii="Arial" w:hAnsi="Arial" w:cs="Arial"/>
                                <w:b/>
                                <w:color w:val="CE003C"/>
                                <w:sz w:val="96"/>
                                <w:szCs w:val="72"/>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382.65pt;margin-top:1.2pt;width:158.8pt;height:71.35pt;rotation:-90;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" stroked="f">
                <v:textbox style="mso-fit-shape-to-text:t">
                  <w:txbxContent>
                    <w:p w:rsidR="00C7509A" w:rsidRPr="00C32D91" w:rsidRDefault="00C7509A" w:rsidP="002F3079">
                      <w:pPr>
                        <w:jc w:val="center"/>
                        <w:rPr>
                          <w:rFonts w:ascii="Arial" w:hAnsi="Arial" w:cs="Arial"/>
                          <w:b/>
                          <w:color w:val="CE003C"/>
                          <w:sz w:val="96"/>
                          <w:szCs w:val="72"/>
                        </w:rPr>
                      </w:pPr>
                      <w:r w:rsidRPr="00C32D91">
                        <w:rPr>
                          <w:rFonts w:ascii="Arial" w:hAnsi="Arial" w:cs="Arial"/>
                          <w:b/>
                          <w:color w:val="CE003C"/>
                          <w:sz w:val="96"/>
                          <w:szCs w:val="72"/>
                        </w:rPr>
                        <w:t>201</w:t>
                      </w:r>
                      <w:r>
                        <w:rPr>
                          <w:rFonts w:ascii="Arial" w:hAnsi="Arial" w:cs="Arial"/>
                          <w:b/>
                          <w:color w:val="CE003C"/>
                          <w:sz w:val="96"/>
                          <w:szCs w:val="72"/>
                        </w:rPr>
                        <w:t>7</w:t>
                      </w:r>
                    </w:p>
                  </w:txbxContent>
                </v:textbox>
              </v:shape>
            </w:pict>
          </mc:Fallback>
        </mc:AlternateContent>
      </w:r>
    </w:p>
    <w:p w:rsidR="002F3079" w:rsidRPr="0013511E" w:rsidRDefault="002F3079" w:rsidP="002F3079">
      <w:pPr>
        <w:spacing w:line="240" w:lineRule="auto"/>
        <w:rPr>
          <w:rFonts w:ascii="Antique Olive" w:hAnsi="Antique Olive" w:cs="Arial"/>
          <w:noProof/>
          <w:color w:val="CE003C"/>
          <w:sz w:val="32"/>
          <w:szCs w:val="32"/>
        </w:rPr>
      </w:pPr>
    </w:p>
    <w:p w:rsidR="002F3079" w:rsidRPr="0013511E" w:rsidRDefault="002F3079" w:rsidP="002F3079">
      <w:pPr>
        <w:spacing w:line="240" w:lineRule="auto"/>
        <w:rPr>
          <w:rFonts w:ascii="Antique Olive" w:hAnsi="Antique Olive" w:cs="Arial"/>
          <w:noProof/>
          <w:color w:val="CE003C"/>
          <w:sz w:val="32"/>
          <w:szCs w:val="32"/>
        </w:rPr>
      </w:pPr>
    </w:p>
    <w:p w:rsidR="002F3079" w:rsidRPr="0013511E" w:rsidRDefault="002F3079" w:rsidP="002F3079">
      <w:pPr>
        <w:spacing w:line="240" w:lineRule="auto"/>
        <w:rPr>
          <w:rFonts w:ascii="Antique Olive" w:hAnsi="Antique Olive" w:cs="Arial"/>
          <w:bCs/>
          <w:caps/>
          <w:noProof/>
          <w:color w:val="CE003C"/>
          <w:sz w:val="32"/>
          <w:szCs w:val="32"/>
        </w:rPr>
      </w:pPr>
      <w:r>
        <w:rPr>
          <w:rFonts w:ascii="Antique Olive" w:hAnsi="Antique Olive" w:cs="Arial"/>
          <w:noProof/>
          <w:color w:val="CE003C"/>
          <w:sz w:val="32"/>
          <w:szCs w:val="32"/>
          <w:lang w:eastAsia="fr-FR"/>
        </w:rPr>
        <w:drawing>
          <wp:anchor distT="0" distB="0" distL="114300" distR="114300" simplePos="0" relativeHeight="251663360" behindDoc="1" locked="0" layoutInCell="1" allowOverlap="1" wp14:anchorId="0C160588" wp14:editId="43DEF145">
            <wp:simplePos x="0" y="0"/>
            <wp:positionH relativeFrom="column">
              <wp:posOffset>-48260</wp:posOffset>
            </wp:positionH>
            <wp:positionV relativeFrom="paragraph">
              <wp:posOffset>2196465</wp:posOffset>
            </wp:positionV>
            <wp:extent cx="3225165" cy="979170"/>
            <wp:effectExtent l="0" t="0" r="0" b="0"/>
            <wp:wrapThrough wrapText="bothSides">
              <wp:wrapPolygon edited="0">
                <wp:start x="0" y="0"/>
                <wp:lineTo x="0" y="21012"/>
                <wp:lineTo x="21434" y="21012"/>
                <wp:lineTo x="21434" y="0"/>
                <wp:lineTo x="0" y="0"/>
              </wp:wrapPolygon>
            </wp:wrapThrough>
            <wp:docPr id="13" name="Image 13" descr="P:\Communication\Charte graphique et modèles\Logo Est Ensemble seul\LogoEE_GrandParis_ro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ommunication\Charte graphique et modèles\Logo Est Ensemble seul\LogoEE_GrandParis_rou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5165" cy="979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511E">
        <w:rPr>
          <w:rFonts w:ascii="Antique Olive" w:hAnsi="Antique Olive" w:cs="Arial"/>
          <w:noProof/>
          <w:color w:val="CE003C"/>
          <w:sz w:val="32"/>
          <w:szCs w:val="32"/>
        </w:rPr>
        <w:br w:type="page"/>
      </w:r>
    </w:p>
    <w:p w:rsidR="00AF4226" w:rsidRDefault="002F3079" w:rsidP="002F3079">
      <w:pPr>
        <w:rPr>
          <w:rFonts w:ascii="Antique Olive" w:hAnsi="Antique Olive" w:cs="Arial"/>
          <w:bCs/>
          <w:color w:val="CE003C"/>
          <w:sz w:val="32"/>
          <w:szCs w:val="32"/>
        </w:rPr>
      </w:pPr>
      <w:r w:rsidRPr="0013511E">
        <w:rPr>
          <w:rFonts w:ascii="Antique Olive" w:hAnsi="Antique Olive" w:cs="Arial"/>
          <w:bCs/>
          <w:color w:val="CE003C"/>
          <w:sz w:val="32"/>
          <w:szCs w:val="32"/>
        </w:rPr>
        <w:lastRenderedPageBreak/>
        <w:fldChar w:fldCharType="end"/>
      </w:r>
      <w:r w:rsidR="00AF4226">
        <w:rPr>
          <w:rFonts w:ascii="Antique Olive" w:hAnsi="Antique Olive" w:cs="Arial"/>
          <w:bCs/>
          <w:color w:val="CE003C"/>
          <w:sz w:val="32"/>
          <w:szCs w:val="32"/>
        </w:rPr>
        <w:br w:type="page"/>
      </w:r>
    </w:p>
    <w:sdt>
      <w:sdtPr>
        <w:rPr>
          <w:rFonts w:asciiTheme="minorHAnsi" w:eastAsiaTheme="minorHAnsi" w:hAnsiTheme="minorHAnsi" w:cstheme="minorBidi"/>
          <w:b w:val="0"/>
          <w:bCs w:val="0"/>
          <w:color w:val="auto"/>
          <w:sz w:val="22"/>
          <w:szCs w:val="22"/>
          <w:lang w:eastAsia="en-US"/>
        </w:rPr>
        <w:id w:val="2326341"/>
        <w:docPartObj>
          <w:docPartGallery w:val="Table of Contents"/>
          <w:docPartUnique/>
        </w:docPartObj>
      </w:sdtPr>
      <w:sdtEndPr>
        <w:rPr>
          <w:rFonts w:ascii="Garamond" w:hAnsi="Garamond"/>
        </w:rPr>
      </w:sdtEndPr>
      <w:sdtContent>
        <w:p w:rsidR="00D57224" w:rsidRDefault="00D57224" w:rsidP="00D57224">
          <w:pPr>
            <w:pStyle w:val="En-ttedetabledesmatires"/>
            <w:jc w:val="center"/>
            <w:rPr>
              <w:szCs w:val="22"/>
            </w:rPr>
          </w:pPr>
          <w:r w:rsidRPr="00D57224">
            <w:rPr>
              <w:szCs w:val="22"/>
            </w:rPr>
            <w:t>Sommaire</w:t>
          </w:r>
        </w:p>
        <w:p w:rsidR="00EC46F9" w:rsidRPr="00044FC3" w:rsidRDefault="00EC46F9" w:rsidP="00044FC3"/>
        <w:p w:rsidR="007D2C46" w:rsidRDefault="00D57224">
          <w:pPr>
            <w:pStyle w:val="TM1"/>
            <w:rPr>
              <w:rFonts w:asciiTheme="minorHAnsi" w:eastAsiaTheme="minorEastAsia" w:hAnsiTheme="minorHAnsi" w:cstheme="minorBidi"/>
              <w:b w:val="0"/>
              <w:color w:val="auto"/>
              <w:lang w:eastAsia="fr-FR"/>
            </w:rPr>
          </w:pPr>
          <w:r w:rsidRPr="00D57224">
            <w:fldChar w:fldCharType="begin"/>
          </w:r>
          <w:r w:rsidRPr="00D57224">
            <w:instrText xml:space="preserve"> TOC \o "1-3" \h \z \u </w:instrText>
          </w:r>
          <w:r w:rsidRPr="00D57224">
            <w:fldChar w:fldCharType="separate"/>
          </w:r>
          <w:hyperlink w:anchor="_Toc509490424" w:history="1">
            <w:r w:rsidR="007D2C46" w:rsidRPr="003D1968">
              <w:rPr>
                <w:rStyle w:val="Lienhypertexte"/>
              </w:rPr>
              <w:t>I.</w:t>
            </w:r>
            <w:r w:rsidR="007D2C46">
              <w:rPr>
                <w:rFonts w:asciiTheme="minorHAnsi" w:eastAsiaTheme="minorEastAsia" w:hAnsiTheme="minorHAnsi" w:cstheme="minorBidi"/>
                <w:b w:val="0"/>
                <w:color w:val="auto"/>
                <w:lang w:eastAsia="fr-FR"/>
              </w:rPr>
              <w:tab/>
            </w:r>
            <w:r w:rsidR="007D2C46" w:rsidRPr="003D1968">
              <w:rPr>
                <w:rStyle w:val="Lienhypertexte"/>
              </w:rPr>
              <w:t>PRESENTATION GENERALE DE L’EXERCICE 2017</w:t>
            </w:r>
            <w:r w:rsidR="007D2C46">
              <w:rPr>
                <w:webHidden/>
              </w:rPr>
              <w:tab/>
            </w:r>
            <w:r w:rsidR="007D2C46">
              <w:rPr>
                <w:webHidden/>
              </w:rPr>
              <w:fldChar w:fldCharType="begin"/>
            </w:r>
            <w:r w:rsidR="007D2C46">
              <w:rPr>
                <w:webHidden/>
              </w:rPr>
              <w:instrText xml:space="preserve"> PAGEREF _Toc509490424 \h </w:instrText>
            </w:r>
            <w:r w:rsidR="007D2C46">
              <w:rPr>
                <w:webHidden/>
              </w:rPr>
            </w:r>
            <w:r w:rsidR="007D2C46">
              <w:rPr>
                <w:webHidden/>
              </w:rPr>
              <w:fldChar w:fldCharType="separate"/>
            </w:r>
            <w:r w:rsidR="007D2C46">
              <w:rPr>
                <w:webHidden/>
              </w:rPr>
              <w:t>5</w:t>
            </w:r>
            <w:r w:rsidR="007D2C46">
              <w:rPr>
                <w:webHidden/>
              </w:rPr>
              <w:fldChar w:fldCharType="end"/>
            </w:r>
          </w:hyperlink>
        </w:p>
        <w:p w:rsidR="007D2C46" w:rsidRDefault="00346491">
          <w:pPr>
            <w:pStyle w:val="TM2"/>
            <w:rPr>
              <w:rFonts w:asciiTheme="minorHAnsi" w:eastAsiaTheme="minorEastAsia" w:hAnsiTheme="minorHAnsi" w:cstheme="minorBidi"/>
              <w:b w:val="0"/>
              <w:lang w:eastAsia="fr-FR"/>
            </w:rPr>
          </w:pPr>
          <w:hyperlink w:anchor="_Toc509490425" w:history="1">
            <w:r w:rsidR="007D2C46" w:rsidRPr="003D1968">
              <w:rPr>
                <w:rStyle w:val="Lienhypertexte"/>
              </w:rPr>
              <w:t>A.</w:t>
            </w:r>
            <w:r w:rsidR="007D2C46">
              <w:rPr>
                <w:rFonts w:asciiTheme="minorHAnsi" w:eastAsiaTheme="minorEastAsia" w:hAnsiTheme="minorHAnsi" w:cstheme="minorBidi"/>
                <w:b w:val="0"/>
                <w:lang w:eastAsia="fr-FR"/>
              </w:rPr>
              <w:tab/>
            </w:r>
            <w:r w:rsidR="007D2C46" w:rsidRPr="003D1968">
              <w:rPr>
                <w:rStyle w:val="Lienhypertexte"/>
              </w:rPr>
              <w:t>Les grands équilibres budgétaires</w:t>
            </w:r>
            <w:r w:rsidR="007D2C46">
              <w:rPr>
                <w:webHidden/>
              </w:rPr>
              <w:tab/>
            </w:r>
            <w:r w:rsidR="007D2C46">
              <w:rPr>
                <w:webHidden/>
              </w:rPr>
              <w:fldChar w:fldCharType="begin"/>
            </w:r>
            <w:r w:rsidR="007D2C46">
              <w:rPr>
                <w:webHidden/>
              </w:rPr>
              <w:instrText xml:space="preserve"> PAGEREF _Toc509490425 \h </w:instrText>
            </w:r>
            <w:r w:rsidR="007D2C46">
              <w:rPr>
                <w:webHidden/>
              </w:rPr>
            </w:r>
            <w:r w:rsidR="007D2C46">
              <w:rPr>
                <w:webHidden/>
              </w:rPr>
              <w:fldChar w:fldCharType="separate"/>
            </w:r>
            <w:r w:rsidR="007D2C46">
              <w:rPr>
                <w:webHidden/>
              </w:rPr>
              <w:t>5</w:t>
            </w:r>
            <w:r w:rsidR="007D2C46">
              <w:rPr>
                <w:webHidden/>
              </w:rPr>
              <w:fldChar w:fldCharType="end"/>
            </w:r>
          </w:hyperlink>
        </w:p>
        <w:p w:rsidR="007D2C46" w:rsidRDefault="00346491">
          <w:pPr>
            <w:pStyle w:val="TM3"/>
            <w:tabs>
              <w:tab w:val="left" w:pos="880"/>
              <w:tab w:val="right" w:leader="dot" w:pos="9628"/>
            </w:tabs>
            <w:rPr>
              <w:rFonts w:asciiTheme="minorHAnsi" w:eastAsiaTheme="minorEastAsia" w:hAnsiTheme="minorHAnsi"/>
              <w:noProof/>
              <w:lang w:eastAsia="fr-FR"/>
            </w:rPr>
          </w:pPr>
          <w:hyperlink w:anchor="_Toc509490426" w:history="1">
            <w:r w:rsidR="007D2C46" w:rsidRPr="003D1968">
              <w:rPr>
                <w:rStyle w:val="Lienhypertexte"/>
                <w:noProof/>
              </w:rPr>
              <w:t>1.</w:t>
            </w:r>
            <w:r w:rsidR="007D2C46">
              <w:rPr>
                <w:rFonts w:asciiTheme="minorHAnsi" w:eastAsiaTheme="minorEastAsia" w:hAnsiTheme="minorHAnsi"/>
                <w:noProof/>
                <w:lang w:eastAsia="fr-FR"/>
              </w:rPr>
              <w:tab/>
            </w:r>
            <w:r w:rsidR="007D2C46" w:rsidRPr="003D1968">
              <w:rPr>
                <w:rStyle w:val="Lienhypertexte"/>
                <w:noProof/>
              </w:rPr>
              <w:t>Le budget principal</w:t>
            </w:r>
            <w:r w:rsidR="007D2C46">
              <w:rPr>
                <w:noProof/>
                <w:webHidden/>
              </w:rPr>
              <w:tab/>
            </w:r>
            <w:r w:rsidR="007D2C46">
              <w:rPr>
                <w:noProof/>
                <w:webHidden/>
              </w:rPr>
              <w:fldChar w:fldCharType="begin"/>
            </w:r>
            <w:r w:rsidR="007D2C46">
              <w:rPr>
                <w:noProof/>
                <w:webHidden/>
              </w:rPr>
              <w:instrText xml:space="preserve"> PAGEREF _Toc509490426 \h </w:instrText>
            </w:r>
            <w:r w:rsidR="007D2C46">
              <w:rPr>
                <w:noProof/>
                <w:webHidden/>
              </w:rPr>
            </w:r>
            <w:r w:rsidR="007D2C46">
              <w:rPr>
                <w:noProof/>
                <w:webHidden/>
              </w:rPr>
              <w:fldChar w:fldCharType="separate"/>
            </w:r>
            <w:r w:rsidR="007D2C46">
              <w:rPr>
                <w:noProof/>
                <w:webHidden/>
              </w:rPr>
              <w:t>5</w:t>
            </w:r>
            <w:r w:rsidR="007D2C46">
              <w:rPr>
                <w:noProof/>
                <w:webHidden/>
              </w:rPr>
              <w:fldChar w:fldCharType="end"/>
            </w:r>
          </w:hyperlink>
        </w:p>
        <w:p w:rsidR="007D2C46" w:rsidRDefault="00346491">
          <w:pPr>
            <w:pStyle w:val="TM3"/>
            <w:tabs>
              <w:tab w:val="left" w:pos="880"/>
              <w:tab w:val="right" w:leader="dot" w:pos="9628"/>
            </w:tabs>
            <w:rPr>
              <w:rFonts w:asciiTheme="minorHAnsi" w:eastAsiaTheme="minorEastAsia" w:hAnsiTheme="minorHAnsi"/>
              <w:noProof/>
              <w:lang w:eastAsia="fr-FR"/>
            </w:rPr>
          </w:pPr>
          <w:hyperlink w:anchor="_Toc509490427" w:history="1">
            <w:r w:rsidR="007D2C46" w:rsidRPr="003D1968">
              <w:rPr>
                <w:rStyle w:val="Lienhypertexte"/>
                <w:noProof/>
              </w:rPr>
              <w:t>2.</w:t>
            </w:r>
            <w:r w:rsidR="007D2C46">
              <w:rPr>
                <w:rFonts w:asciiTheme="minorHAnsi" w:eastAsiaTheme="minorEastAsia" w:hAnsiTheme="minorHAnsi"/>
                <w:noProof/>
                <w:lang w:eastAsia="fr-FR"/>
              </w:rPr>
              <w:tab/>
            </w:r>
            <w:r w:rsidR="007D2C46" w:rsidRPr="003D1968">
              <w:rPr>
                <w:rStyle w:val="Lienhypertexte"/>
                <w:noProof/>
              </w:rPr>
              <w:t>Le budget annexe d’assainissement</w:t>
            </w:r>
            <w:r w:rsidR="007D2C46">
              <w:rPr>
                <w:noProof/>
                <w:webHidden/>
              </w:rPr>
              <w:tab/>
            </w:r>
            <w:r w:rsidR="007D2C46">
              <w:rPr>
                <w:noProof/>
                <w:webHidden/>
              </w:rPr>
              <w:fldChar w:fldCharType="begin"/>
            </w:r>
            <w:r w:rsidR="007D2C46">
              <w:rPr>
                <w:noProof/>
                <w:webHidden/>
              </w:rPr>
              <w:instrText xml:space="preserve"> PAGEREF _Toc509490427 \h </w:instrText>
            </w:r>
            <w:r w:rsidR="007D2C46">
              <w:rPr>
                <w:noProof/>
                <w:webHidden/>
              </w:rPr>
            </w:r>
            <w:r w:rsidR="007D2C46">
              <w:rPr>
                <w:noProof/>
                <w:webHidden/>
              </w:rPr>
              <w:fldChar w:fldCharType="separate"/>
            </w:r>
            <w:r w:rsidR="007D2C46">
              <w:rPr>
                <w:noProof/>
                <w:webHidden/>
              </w:rPr>
              <w:t>8</w:t>
            </w:r>
            <w:r w:rsidR="007D2C46">
              <w:rPr>
                <w:noProof/>
                <w:webHidden/>
              </w:rPr>
              <w:fldChar w:fldCharType="end"/>
            </w:r>
          </w:hyperlink>
        </w:p>
        <w:p w:rsidR="007D2C46" w:rsidRDefault="00346491">
          <w:pPr>
            <w:pStyle w:val="TM3"/>
            <w:tabs>
              <w:tab w:val="left" w:pos="880"/>
              <w:tab w:val="right" w:leader="dot" w:pos="9628"/>
            </w:tabs>
            <w:rPr>
              <w:rFonts w:asciiTheme="minorHAnsi" w:eastAsiaTheme="minorEastAsia" w:hAnsiTheme="minorHAnsi"/>
              <w:noProof/>
              <w:lang w:eastAsia="fr-FR"/>
            </w:rPr>
          </w:pPr>
          <w:hyperlink w:anchor="_Toc509490428" w:history="1">
            <w:r w:rsidR="007D2C46" w:rsidRPr="003D1968">
              <w:rPr>
                <w:rStyle w:val="Lienhypertexte"/>
                <w:noProof/>
              </w:rPr>
              <w:t>3.</w:t>
            </w:r>
            <w:r w:rsidR="007D2C46">
              <w:rPr>
                <w:rFonts w:asciiTheme="minorHAnsi" w:eastAsiaTheme="minorEastAsia" w:hAnsiTheme="minorHAnsi"/>
                <w:noProof/>
                <w:lang w:eastAsia="fr-FR"/>
              </w:rPr>
              <w:tab/>
            </w:r>
            <w:r w:rsidR="007D2C46" w:rsidRPr="003D1968">
              <w:rPr>
                <w:rStyle w:val="Lienhypertexte"/>
                <w:noProof/>
              </w:rPr>
              <w:t>Le budget annexe des projets d’aménagement</w:t>
            </w:r>
            <w:r w:rsidR="007D2C46">
              <w:rPr>
                <w:noProof/>
                <w:webHidden/>
              </w:rPr>
              <w:tab/>
            </w:r>
            <w:r w:rsidR="007D2C46">
              <w:rPr>
                <w:noProof/>
                <w:webHidden/>
              </w:rPr>
              <w:fldChar w:fldCharType="begin"/>
            </w:r>
            <w:r w:rsidR="007D2C46">
              <w:rPr>
                <w:noProof/>
                <w:webHidden/>
              </w:rPr>
              <w:instrText xml:space="preserve"> PAGEREF _Toc509490428 \h </w:instrText>
            </w:r>
            <w:r w:rsidR="007D2C46">
              <w:rPr>
                <w:noProof/>
                <w:webHidden/>
              </w:rPr>
            </w:r>
            <w:r w:rsidR="007D2C46">
              <w:rPr>
                <w:noProof/>
                <w:webHidden/>
              </w:rPr>
              <w:fldChar w:fldCharType="separate"/>
            </w:r>
            <w:r w:rsidR="007D2C46">
              <w:rPr>
                <w:noProof/>
                <w:webHidden/>
              </w:rPr>
              <w:t>11</w:t>
            </w:r>
            <w:r w:rsidR="007D2C46">
              <w:rPr>
                <w:noProof/>
                <w:webHidden/>
              </w:rPr>
              <w:fldChar w:fldCharType="end"/>
            </w:r>
          </w:hyperlink>
        </w:p>
        <w:p w:rsidR="007D2C46" w:rsidRDefault="00346491">
          <w:pPr>
            <w:pStyle w:val="TM2"/>
            <w:rPr>
              <w:rFonts w:asciiTheme="minorHAnsi" w:eastAsiaTheme="minorEastAsia" w:hAnsiTheme="minorHAnsi" w:cstheme="minorBidi"/>
              <w:b w:val="0"/>
              <w:lang w:eastAsia="fr-FR"/>
            </w:rPr>
          </w:pPr>
          <w:hyperlink w:anchor="_Toc509490429" w:history="1">
            <w:r w:rsidR="007D2C46" w:rsidRPr="003D1968">
              <w:rPr>
                <w:rStyle w:val="Lienhypertexte"/>
              </w:rPr>
              <w:t>B.</w:t>
            </w:r>
            <w:r w:rsidR="007D2C46">
              <w:rPr>
                <w:rFonts w:asciiTheme="minorHAnsi" w:eastAsiaTheme="minorEastAsia" w:hAnsiTheme="minorHAnsi" w:cstheme="minorBidi"/>
                <w:b w:val="0"/>
                <w:lang w:eastAsia="fr-FR"/>
              </w:rPr>
              <w:tab/>
            </w:r>
            <w:r w:rsidR="007D2C46" w:rsidRPr="003D1968">
              <w:rPr>
                <w:rStyle w:val="Lienhypertexte"/>
              </w:rPr>
              <w:t>Les taux d’exécution</w:t>
            </w:r>
            <w:r w:rsidR="007D2C46">
              <w:rPr>
                <w:webHidden/>
              </w:rPr>
              <w:tab/>
            </w:r>
            <w:r w:rsidR="007D2C46">
              <w:rPr>
                <w:webHidden/>
              </w:rPr>
              <w:fldChar w:fldCharType="begin"/>
            </w:r>
            <w:r w:rsidR="007D2C46">
              <w:rPr>
                <w:webHidden/>
              </w:rPr>
              <w:instrText xml:space="preserve"> PAGEREF _Toc509490429 \h </w:instrText>
            </w:r>
            <w:r w:rsidR="007D2C46">
              <w:rPr>
                <w:webHidden/>
              </w:rPr>
            </w:r>
            <w:r w:rsidR="007D2C46">
              <w:rPr>
                <w:webHidden/>
              </w:rPr>
              <w:fldChar w:fldCharType="separate"/>
            </w:r>
            <w:r w:rsidR="007D2C46">
              <w:rPr>
                <w:webHidden/>
              </w:rPr>
              <w:t>14</w:t>
            </w:r>
            <w:r w:rsidR="007D2C46">
              <w:rPr>
                <w:webHidden/>
              </w:rPr>
              <w:fldChar w:fldCharType="end"/>
            </w:r>
          </w:hyperlink>
        </w:p>
        <w:p w:rsidR="007D2C46" w:rsidRDefault="00346491">
          <w:pPr>
            <w:pStyle w:val="TM3"/>
            <w:tabs>
              <w:tab w:val="left" w:pos="880"/>
              <w:tab w:val="right" w:leader="dot" w:pos="9628"/>
            </w:tabs>
            <w:rPr>
              <w:rFonts w:asciiTheme="minorHAnsi" w:eastAsiaTheme="minorEastAsia" w:hAnsiTheme="minorHAnsi"/>
              <w:noProof/>
              <w:lang w:eastAsia="fr-FR"/>
            </w:rPr>
          </w:pPr>
          <w:hyperlink w:anchor="_Toc509490430" w:history="1">
            <w:r w:rsidR="007D2C46" w:rsidRPr="003D1968">
              <w:rPr>
                <w:rStyle w:val="Lienhypertexte"/>
                <w:noProof/>
              </w:rPr>
              <w:t>1.</w:t>
            </w:r>
            <w:r w:rsidR="007D2C46">
              <w:rPr>
                <w:rFonts w:asciiTheme="minorHAnsi" w:eastAsiaTheme="minorEastAsia" w:hAnsiTheme="minorHAnsi"/>
                <w:noProof/>
                <w:lang w:eastAsia="fr-FR"/>
              </w:rPr>
              <w:tab/>
            </w:r>
            <w:r w:rsidR="007D2C46" w:rsidRPr="003D1968">
              <w:rPr>
                <w:rStyle w:val="Lienhypertexte"/>
                <w:noProof/>
              </w:rPr>
              <w:t>Le budget principal</w:t>
            </w:r>
            <w:r w:rsidR="007D2C46">
              <w:rPr>
                <w:noProof/>
                <w:webHidden/>
              </w:rPr>
              <w:tab/>
            </w:r>
            <w:r w:rsidR="007D2C46">
              <w:rPr>
                <w:noProof/>
                <w:webHidden/>
              </w:rPr>
              <w:fldChar w:fldCharType="begin"/>
            </w:r>
            <w:r w:rsidR="007D2C46">
              <w:rPr>
                <w:noProof/>
                <w:webHidden/>
              </w:rPr>
              <w:instrText xml:space="preserve"> PAGEREF _Toc509490430 \h </w:instrText>
            </w:r>
            <w:r w:rsidR="007D2C46">
              <w:rPr>
                <w:noProof/>
                <w:webHidden/>
              </w:rPr>
            </w:r>
            <w:r w:rsidR="007D2C46">
              <w:rPr>
                <w:noProof/>
                <w:webHidden/>
              </w:rPr>
              <w:fldChar w:fldCharType="separate"/>
            </w:r>
            <w:r w:rsidR="007D2C46">
              <w:rPr>
                <w:noProof/>
                <w:webHidden/>
              </w:rPr>
              <w:t>14</w:t>
            </w:r>
            <w:r w:rsidR="007D2C46">
              <w:rPr>
                <w:noProof/>
                <w:webHidden/>
              </w:rPr>
              <w:fldChar w:fldCharType="end"/>
            </w:r>
          </w:hyperlink>
        </w:p>
        <w:p w:rsidR="007D2C46" w:rsidRDefault="00346491">
          <w:pPr>
            <w:pStyle w:val="TM3"/>
            <w:tabs>
              <w:tab w:val="left" w:pos="880"/>
              <w:tab w:val="right" w:leader="dot" w:pos="9628"/>
            </w:tabs>
            <w:rPr>
              <w:rFonts w:asciiTheme="minorHAnsi" w:eastAsiaTheme="minorEastAsia" w:hAnsiTheme="minorHAnsi"/>
              <w:noProof/>
              <w:lang w:eastAsia="fr-FR"/>
            </w:rPr>
          </w:pPr>
          <w:hyperlink w:anchor="_Toc509490431" w:history="1">
            <w:r w:rsidR="007D2C46" w:rsidRPr="003D1968">
              <w:rPr>
                <w:rStyle w:val="Lienhypertexte"/>
                <w:noProof/>
              </w:rPr>
              <w:t>2.</w:t>
            </w:r>
            <w:r w:rsidR="007D2C46">
              <w:rPr>
                <w:rFonts w:asciiTheme="minorHAnsi" w:eastAsiaTheme="minorEastAsia" w:hAnsiTheme="minorHAnsi"/>
                <w:noProof/>
                <w:lang w:eastAsia="fr-FR"/>
              </w:rPr>
              <w:tab/>
            </w:r>
            <w:r w:rsidR="007D2C46" w:rsidRPr="003D1968">
              <w:rPr>
                <w:rStyle w:val="Lienhypertexte"/>
                <w:noProof/>
              </w:rPr>
              <w:t>Le budget annexe d’assainissement</w:t>
            </w:r>
            <w:r w:rsidR="007D2C46">
              <w:rPr>
                <w:noProof/>
                <w:webHidden/>
              </w:rPr>
              <w:tab/>
            </w:r>
            <w:r w:rsidR="007D2C46">
              <w:rPr>
                <w:noProof/>
                <w:webHidden/>
              </w:rPr>
              <w:fldChar w:fldCharType="begin"/>
            </w:r>
            <w:r w:rsidR="007D2C46">
              <w:rPr>
                <w:noProof/>
                <w:webHidden/>
              </w:rPr>
              <w:instrText xml:space="preserve"> PAGEREF _Toc509490431 \h </w:instrText>
            </w:r>
            <w:r w:rsidR="007D2C46">
              <w:rPr>
                <w:noProof/>
                <w:webHidden/>
              </w:rPr>
            </w:r>
            <w:r w:rsidR="007D2C46">
              <w:rPr>
                <w:noProof/>
                <w:webHidden/>
              </w:rPr>
              <w:fldChar w:fldCharType="separate"/>
            </w:r>
            <w:r w:rsidR="007D2C46">
              <w:rPr>
                <w:noProof/>
                <w:webHidden/>
              </w:rPr>
              <w:t>16</w:t>
            </w:r>
            <w:r w:rsidR="007D2C46">
              <w:rPr>
                <w:noProof/>
                <w:webHidden/>
              </w:rPr>
              <w:fldChar w:fldCharType="end"/>
            </w:r>
          </w:hyperlink>
        </w:p>
        <w:p w:rsidR="007D2C46" w:rsidRDefault="00346491">
          <w:pPr>
            <w:pStyle w:val="TM3"/>
            <w:tabs>
              <w:tab w:val="left" w:pos="880"/>
              <w:tab w:val="right" w:leader="dot" w:pos="9628"/>
            </w:tabs>
            <w:rPr>
              <w:rFonts w:asciiTheme="minorHAnsi" w:eastAsiaTheme="minorEastAsia" w:hAnsiTheme="minorHAnsi"/>
              <w:noProof/>
              <w:lang w:eastAsia="fr-FR"/>
            </w:rPr>
          </w:pPr>
          <w:hyperlink w:anchor="_Toc509490432" w:history="1">
            <w:r w:rsidR="007D2C46" w:rsidRPr="003D1968">
              <w:rPr>
                <w:rStyle w:val="Lienhypertexte"/>
                <w:noProof/>
              </w:rPr>
              <w:t>3.</w:t>
            </w:r>
            <w:r w:rsidR="007D2C46">
              <w:rPr>
                <w:rFonts w:asciiTheme="minorHAnsi" w:eastAsiaTheme="minorEastAsia" w:hAnsiTheme="minorHAnsi"/>
                <w:noProof/>
                <w:lang w:eastAsia="fr-FR"/>
              </w:rPr>
              <w:tab/>
            </w:r>
            <w:r w:rsidR="007D2C46" w:rsidRPr="003D1968">
              <w:rPr>
                <w:rStyle w:val="Lienhypertexte"/>
                <w:noProof/>
              </w:rPr>
              <w:t>Le budget annexe des projets d’aménagement</w:t>
            </w:r>
            <w:r w:rsidR="007D2C46">
              <w:rPr>
                <w:noProof/>
                <w:webHidden/>
              </w:rPr>
              <w:tab/>
            </w:r>
            <w:r w:rsidR="007D2C46">
              <w:rPr>
                <w:noProof/>
                <w:webHidden/>
              </w:rPr>
              <w:fldChar w:fldCharType="begin"/>
            </w:r>
            <w:r w:rsidR="007D2C46">
              <w:rPr>
                <w:noProof/>
                <w:webHidden/>
              </w:rPr>
              <w:instrText xml:space="preserve"> PAGEREF _Toc509490432 \h </w:instrText>
            </w:r>
            <w:r w:rsidR="007D2C46">
              <w:rPr>
                <w:noProof/>
                <w:webHidden/>
              </w:rPr>
            </w:r>
            <w:r w:rsidR="007D2C46">
              <w:rPr>
                <w:noProof/>
                <w:webHidden/>
              </w:rPr>
              <w:fldChar w:fldCharType="separate"/>
            </w:r>
            <w:r w:rsidR="007D2C46">
              <w:rPr>
                <w:noProof/>
                <w:webHidden/>
              </w:rPr>
              <w:t>17</w:t>
            </w:r>
            <w:r w:rsidR="007D2C46">
              <w:rPr>
                <w:noProof/>
                <w:webHidden/>
              </w:rPr>
              <w:fldChar w:fldCharType="end"/>
            </w:r>
          </w:hyperlink>
        </w:p>
        <w:p w:rsidR="007D2C46" w:rsidRDefault="00346491">
          <w:pPr>
            <w:pStyle w:val="TM2"/>
            <w:rPr>
              <w:rFonts w:asciiTheme="minorHAnsi" w:eastAsiaTheme="minorEastAsia" w:hAnsiTheme="minorHAnsi" w:cstheme="minorBidi"/>
              <w:b w:val="0"/>
              <w:lang w:eastAsia="fr-FR"/>
            </w:rPr>
          </w:pPr>
          <w:hyperlink w:anchor="_Toc509490433" w:history="1">
            <w:r w:rsidR="007D2C46" w:rsidRPr="003D1968">
              <w:rPr>
                <w:rStyle w:val="Lienhypertexte"/>
              </w:rPr>
              <w:t>C.</w:t>
            </w:r>
            <w:r w:rsidR="007D2C46">
              <w:rPr>
                <w:rFonts w:asciiTheme="minorHAnsi" w:eastAsiaTheme="minorEastAsia" w:hAnsiTheme="minorHAnsi" w:cstheme="minorBidi"/>
                <w:b w:val="0"/>
                <w:lang w:eastAsia="fr-FR"/>
              </w:rPr>
              <w:tab/>
            </w:r>
            <w:r w:rsidR="007D2C46" w:rsidRPr="003D1968">
              <w:rPr>
                <w:rStyle w:val="Lienhypertexte"/>
              </w:rPr>
              <w:t>La situation financière fin 2017</w:t>
            </w:r>
            <w:r w:rsidR="007D2C46">
              <w:rPr>
                <w:webHidden/>
              </w:rPr>
              <w:tab/>
            </w:r>
            <w:r w:rsidR="007D2C46">
              <w:rPr>
                <w:webHidden/>
              </w:rPr>
              <w:fldChar w:fldCharType="begin"/>
            </w:r>
            <w:r w:rsidR="007D2C46">
              <w:rPr>
                <w:webHidden/>
              </w:rPr>
              <w:instrText xml:space="preserve"> PAGEREF _Toc509490433 \h </w:instrText>
            </w:r>
            <w:r w:rsidR="007D2C46">
              <w:rPr>
                <w:webHidden/>
              </w:rPr>
            </w:r>
            <w:r w:rsidR="007D2C46">
              <w:rPr>
                <w:webHidden/>
              </w:rPr>
              <w:fldChar w:fldCharType="separate"/>
            </w:r>
            <w:r w:rsidR="007D2C46">
              <w:rPr>
                <w:webHidden/>
              </w:rPr>
              <w:t>18</w:t>
            </w:r>
            <w:r w:rsidR="007D2C46">
              <w:rPr>
                <w:webHidden/>
              </w:rPr>
              <w:fldChar w:fldCharType="end"/>
            </w:r>
          </w:hyperlink>
        </w:p>
        <w:p w:rsidR="007D2C46" w:rsidRDefault="00346491">
          <w:pPr>
            <w:pStyle w:val="TM1"/>
            <w:rPr>
              <w:rFonts w:asciiTheme="minorHAnsi" w:eastAsiaTheme="minorEastAsia" w:hAnsiTheme="minorHAnsi" w:cstheme="minorBidi"/>
              <w:b w:val="0"/>
              <w:color w:val="auto"/>
              <w:lang w:eastAsia="fr-FR"/>
            </w:rPr>
          </w:pPr>
          <w:hyperlink w:anchor="_Toc509490434" w:history="1">
            <w:r w:rsidR="007D2C46" w:rsidRPr="003D1968">
              <w:rPr>
                <w:rStyle w:val="Lienhypertexte"/>
              </w:rPr>
              <w:t>II.</w:t>
            </w:r>
            <w:r w:rsidR="007D2C46">
              <w:rPr>
                <w:rFonts w:asciiTheme="minorHAnsi" w:eastAsiaTheme="minorEastAsia" w:hAnsiTheme="minorHAnsi" w:cstheme="minorBidi"/>
                <w:b w:val="0"/>
                <w:color w:val="auto"/>
                <w:lang w:eastAsia="fr-FR"/>
              </w:rPr>
              <w:tab/>
            </w:r>
            <w:r w:rsidR="007D2C46" w:rsidRPr="003D1968">
              <w:rPr>
                <w:rStyle w:val="Lienhypertexte"/>
              </w:rPr>
              <w:t>LE BUDGET PRINCIPAL</w:t>
            </w:r>
            <w:r w:rsidR="007D2C46">
              <w:rPr>
                <w:webHidden/>
              </w:rPr>
              <w:tab/>
            </w:r>
            <w:r w:rsidR="007D2C46">
              <w:rPr>
                <w:webHidden/>
              </w:rPr>
              <w:fldChar w:fldCharType="begin"/>
            </w:r>
            <w:r w:rsidR="007D2C46">
              <w:rPr>
                <w:webHidden/>
              </w:rPr>
              <w:instrText xml:space="preserve"> PAGEREF _Toc509490434 \h </w:instrText>
            </w:r>
            <w:r w:rsidR="007D2C46">
              <w:rPr>
                <w:webHidden/>
              </w:rPr>
            </w:r>
            <w:r w:rsidR="007D2C46">
              <w:rPr>
                <w:webHidden/>
              </w:rPr>
              <w:fldChar w:fldCharType="separate"/>
            </w:r>
            <w:r w:rsidR="007D2C46">
              <w:rPr>
                <w:webHidden/>
              </w:rPr>
              <w:t>20</w:t>
            </w:r>
            <w:r w:rsidR="007D2C46">
              <w:rPr>
                <w:webHidden/>
              </w:rPr>
              <w:fldChar w:fldCharType="end"/>
            </w:r>
          </w:hyperlink>
        </w:p>
        <w:p w:rsidR="007D2C46" w:rsidRDefault="00346491">
          <w:pPr>
            <w:pStyle w:val="TM2"/>
            <w:rPr>
              <w:rFonts w:asciiTheme="minorHAnsi" w:eastAsiaTheme="minorEastAsia" w:hAnsiTheme="minorHAnsi" w:cstheme="minorBidi"/>
              <w:b w:val="0"/>
              <w:lang w:eastAsia="fr-FR"/>
            </w:rPr>
          </w:pPr>
          <w:hyperlink w:anchor="_Toc509490435" w:history="1">
            <w:r w:rsidR="007D2C46" w:rsidRPr="003D1968">
              <w:rPr>
                <w:rStyle w:val="Lienhypertexte"/>
              </w:rPr>
              <w:t>A.</w:t>
            </w:r>
            <w:r w:rsidR="007D2C46">
              <w:rPr>
                <w:rFonts w:asciiTheme="minorHAnsi" w:eastAsiaTheme="minorEastAsia" w:hAnsiTheme="minorHAnsi" w:cstheme="minorBidi"/>
                <w:b w:val="0"/>
                <w:lang w:eastAsia="fr-FR"/>
              </w:rPr>
              <w:tab/>
            </w:r>
            <w:r w:rsidR="007D2C46" w:rsidRPr="003D1968">
              <w:rPr>
                <w:rStyle w:val="Lienhypertexte"/>
              </w:rPr>
              <w:t>Le fonctionnement</w:t>
            </w:r>
            <w:r w:rsidR="007D2C46">
              <w:rPr>
                <w:webHidden/>
              </w:rPr>
              <w:tab/>
            </w:r>
            <w:r w:rsidR="007D2C46">
              <w:rPr>
                <w:webHidden/>
              </w:rPr>
              <w:fldChar w:fldCharType="begin"/>
            </w:r>
            <w:r w:rsidR="007D2C46">
              <w:rPr>
                <w:webHidden/>
              </w:rPr>
              <w:instrText xml:space="preserve"> PAGEREF _Toc509490435 \h </w:instrText>
            </w:r>
            <w:r w:rsidR="007D2C46">
              <w:rPr>
                <w:webHidden/>
              </w:rPr>
            </w:r>
            <w:r w:rsidR="007D2C46">
              <w:rPr>
                <w:webHidden/>
              </w:rPr>
              <w:fldChar w:fldCharType="separate"/>
            </w:r>
            <w:r w:rsidR="007D2C46">
              <w:rPr>
                <w:webHidden/>
              </w:rPr>
              <w:t>20</w:t>
            </w:r>
            <w:r w:rsidR="007D2C46">
              <w:rPr>
                <w:webHidden/>
              </w:rPr>
              <w:fldChar w:fldCharType="end"/>
            </w:r>
          </w:hyperlink>
        </w:p>
        <w:p w:rsidR="007D2C46" w:rsidRDefault="00346491">
          <w:pPr>
            <w:pStyle w:val="TM3"/>
            <w:tabs>
              <w:tab w:val="left" w:pos="880"/>
              <w:tab w:val="right" w:leader="dot" w:pos="9628"/>
            </w:tabs>
            <w:rPr>
              <w:rFonts w:asciiTheme="minorHAnsi" w:eastAsiaTheme="minorEastAsia" w:hAnsiTheme="minorHAnsi"/>
              <w:noProof/>
              <w:lang w:eastAsia="fr-FR"/>
            </w:rPr>
          </w:pPr>
          <w:hyperlink w:anchor="_Toc509490436" w:history="1">
            <w:r w:rsidR="007D2C46" w:rsidRPr="003D1968">
              <w:rPr>
                <w:rStyle w:val="Lienhypertexte"/>
                <w:noProof/>
              </w:rPr>
              <w:t>1.</w:t>
            </w:r>
            <w:r w:rsidR="007D2C46">
              <w:rPr>
                <w:rFonts w:asciiTheme="minorHAnsi" w:eastAsiaTheme="minorEastAsia" w:hAnsiTheme="minorHAnsi"/>
                <w:noProof/>
                <w:lang w:eastAsia="fr-FR"/>
              </w:rPr>
              <w:tab/>
            </w:r>
            <w:r w:rsidR="007D2C46" w:rsidRPr="003D1968">
              <w:rPr>
                <w:rStyle w:val="Lienhypertexte"/>
                <w:noProof/>
              </w:rPr>
              <w:t>Les recettes réelles de la section de fonctionnement</w:t>
            </w:r>
            <w:r w:rsidR="007D2C46">
              <w:rPr>
                <w:noProof/>
                <w:webHidden/>
              </w:rPr>
              <w:tab/>
            </w:r>
            <w:r w:rsidR="007D2C46">
              <w:rPr>
                <w:noProof/>
                <w:webHidden/>
              </w:rPr>
              <w:fldChar w:fldCharType="begin"/>
            </w:r>
            <w:r w:rsidR="007D2C46">
              <w:rPr>
                <w:noProof/>
                <w:webHidden/>
              </w:rPr>
              <w:instrText xml:space="preserve"> PAGEREF _Toc509490436 \h </w:instrText>
            </w:r>
            <w:r w:rsidR="007D2C46">
              <w:rPr>
                <w:noProof/>
                <w:webHidden/>
              </w:rPr>
            </w:r>
            <w:r w:rsidR="007D2C46">
              <w:rPr>
                <w:noProof/>
                <w:webHidden/>
              </w:rPr>
              <w:fldChar w:fldCharType="separate"/>
            </w:r>
            <w:r w:rsidR="007D2C46">
              <w:rPr>
                <w:noProof/>
                <w:webHidden/>
              </w:rPr>
              <w:t>20</w:t>
            </w:r>
            <w:r w:rsidR="007D2C46">
              <w:rPr>
                <w:noProof/>
                <w:webHidden/>
              </w:rPr>
              <w:fldChar w:fldCharType="end"/>
            </w:r>
          </w:hyperlink>
        </w:p>
        <w:p w:rsidR="007D2C46" w:rsidRDefault="00346491">
          <w:pPr>
            <w:pStyle w:val="TM3"/>
            <w:tabs>
              <w:tab w:val="left" w:pos="880"/>
              <w:tab w:val="right" w:leader="dot" w:pos="9628"/>
            </w:tabs>
            <w:rPr>
              <w:rFonts w:asciiTheme="minorHAnsi" w:eastAsiaTheme="minorEastAsia" w:hAnsiTheme="minorHAnsi"/>
              <w:noProof/>
              <w:lang w:eastAsia="fr-FR"/>
            </w:rPr>
          </w:pPr>
          <w:hyperlink w:anchor="_Toc509490437" w:history="1">
            <w:r w:rsidR="007D2C46" w:rsidRPr="003D1968">
              <w:rPr>
                <w:rStyle w:val="Lienhypertexte"/>
                <w:noProof/>
              </w:rPr>
              <w:t>2.</w:t>
            </w:r>
            <w:r w:rsidR="007D2C46">
              <w:rPr>
                <w:rFonts w:asciiTheme="minorHAnsi" w:eastAsiaTheme="minorEastAsia" w:hAnsiTheme="minorHAnsi"/>
                <w:noProof/>
                <w:lang w:eastAsia="fr-FR"/>
              </w:rPr>
              <w:tab/>
            </w:r>
            <w:r w:rsidR="007D2C46" w:rsidRPr="003D1968">
              <w:rPr>
                <w:rStyle w:val="Lienhypertexte"/>
                <w:noProof/>
              </w:rPr>
              <w:t>Les dépenses réelles de la section de fonctionnement</w:t>
            </w:r>
            <w:r w:rsidR="007D2C46">
              <w:rPr>
                <w:noProof/>
                <w:webHidden/>
              </w:rPr>
              <w:tab/>
            </w:r>
            <w:r w:rsidR="007D2C46">
              <w:rPr>
                <w:noProof/>
                <w:webHidden/>
              </w:rPr>
              <w:fldChar w:fldCharType="begin"/>
            </w:r>
            <w:r w:rsidR="007D2C46">
              <w:rPr>
                <w:noProof/>
                <w:webHidden/>
              </w:rPr>
              <w:instrText xml:space="preserve"> PAGEREF _Toc509490437 \h </w:instrText>
            </w:r>
            <w:r w:rsidR="007D2C46">
              <w:rPr>
                <w:noProof/>
                <w:webHidden/>
              </w:rPr>
            </w:r>
            <w:r w:rsidR="007D2C46">
              <w:rPr>
                <w:noProof/>
                <w:webHidden/>
              </w:rPr>
              <w:fldChar w:fldCharType="separate"/>
            </w:r>
            <w:r w:rsidR="007D2C46">
              <w:rPr>
                <w:noProof/>
                <w:webHidden/>
              </w:rPr>
              <w:t>21</w:t>
            </w:r>
            <w:r w:rsidR="007D2C46">
              <w:rPr>
                <w:noProof/>
                <w:webHidden/>
              </w:rPr>
              <w:fldChar w:fldCharType="end"/>
            </w:r>
          </w:hyperlink>
        </w:p>
        <w:p w:rsidR="007D2C46" w:rsidRDefault="00346491">
          <w:pPr>
            <w:pStyle w:val="TM2"/>
            <w:rPr>
              <w:rFonts w:asciiTheme="minorHAnsi" w:eastAsiaTheme="minorEastAsia" w:hAnsiTheme="minorHAnsi" w:cstheme="minorBidi"/>
              <w:b w:val="0"/>
              <w:lang w:eastAsia="fr-FR"/>
            </w:rPr>
          </w:pPr>
          <w:hyperlink w:anchor="_Toc509490438" w:history="1">
            <w:r w:rsidR="007D2C46" w:rsidRPr="003D1968">
              <w:rPr>
                <w:rStyle w:val="Lienhypertexte"/>
              </w:rPr>
              <w:t>B.</w:t>
            </w:r>
            <w:r w:rsidR="007D2C46">
              <w:rPr>
                <w:rFonts w:asciiTheme="minorHAnsi" w:eastAsiaTheme="minorEastAsia" w:hAnsiTheme="minorHAnsi" w:cstheme="minorBidi"/>
                <w:b w:val="0"/>
                <w:lang w:eastAsia="fr-FR"/>
              </w:rPr>
              <w:tab/>
            </w:r>
            <w:r w:rsidR="007D2C46" w:rsidRPr="003D1968">
              <w:rPr>
                <w:rStyle w:val="Lienhypertexte"/>
              </w:rPr>
              <w:t>L’investissement</w:t>
            </w:r>
            <w:r w:rsidR="007D2C46">
              <w:rPr>
                <w:webHidden/>
              </w:rPr>
              <w:tab/>
            </w:r>
            <w:r w:rsidR="007D2C46">
              <w:rPr>
                <w:webHidden/>
              </w:rPr>
              <w:fldChar w:fldCharType="begin"/>
            </w:r>
            <w:r w:rsidR="007D2C46">
              <w:rPr>
                <w:webHidden/>
              </w:rPr>
              <w:instrText xml:space="preserve"> PAGEREF _Toc509490438 \h </w:instrText>
            </w:r>
            <w:r w:rsidR="007D2C46">
              <w:rPr>
                <w:webHidden/>
              </w:rPr>
            </w:r>
            <w:r w:rsidR="007D2C46">
              <w:rPr>
                <w:webHidden/>
              </w:rPr>
              <w:fldChar w:fldCharType="separate"/>
            </w:r>
            <w:r w:rsidR="007D2C46">
              <w:rPr>
                <w:webHidden/>
              </w:rPr>
              <w:t>23</w:t>
            </w:r>
            <w:r w:rsidR="007D2C46">
              <w:rPr>
                <w:webHidden/>
              </w:rPr>
              <w:fldChar w:fldCharType="end"/>
            </w:r>
          </w:hyperlink>
        </w:p>
        <w:p w:rsidR="007D2C46" w:rsidRDefault="00346491">
          <w:pPr>
            <w:pStyle w:val="TM3"/>
            <w:tabs>
              <w:tab w:val="left" w:pos="880"/>
              <w:tab w:val="right" w:leader="dot" w:pos="9628"/>
            </w:tabs>
            <w:rPr>
              <w:rFonts w:asciiTheme="minorHAnsi" w:eastAsiaTheme="minorEastAsia" w:hAnsiTheme="minorHAnsi"/>
              <w:noProof/>
              <w:lang w:eastAsia="fr-FR"/>
            </w:rPr>
          </w:pPr>
          <w:hyperlink w:anchor="_Toc509490439" w:history="1">
            <w:r w:rsidR="007D2C46" w:rsidRPr="003D1968">
              <w:rPr>
                <w:rStyle w:val="Lienhypertexte"/>
                <w:noProof/>
              </w:rPr>
              <w:t>1.</w:t>
            </w:r>
            <w:r w:rsidR="007D2C46">
              <w:rPr>
                <w:rFonts w:asciiTheme="minorHAnsi" w:eastAsiaTheme="minorEastAsia" w:hAnsiTheme="minorHAnsi"/>
                <w:noProof/>
                <w:lang w:eastAsia="fr-FR"/>
              </w:rPr>
              <w:tab/>
            </w:r>
            <w:r w:rsidR="007D2C46" w:rsidRPr="003D1968">
              <w:rPr>
                <w:rStyle w:val="Lienhypertexte"/>
                <w:noProof/>
              </w:rPr>
              <w:t>Les recettes réelles</w:t>
            </w:r>
            <w:r w:rsidR="007D2C46">
              <w:rPr>
                <w:noProof/>
                <w:webHidden/>
              </w:rPr>
              <w:tab/>
            </w:r>
            <w:r w:rsidR="007D2C46">
              <w:rPr>
                <w:noProof/>
                <w:webHidden/>
              </w:rPr>
              <w:fldChar w:fldCharType="begin"/>
            </w:r>
            <w:r w:rsidR="007D2C46">
              <w:rPr>
                <w:noProof/>
                <w:webHidden/>
              </w:rPr>
              <w:instrText xml:space="preserve"> PAGEREF _Toc509490439 \h </w:instrText>
            </w:r>
            <w:r w:rsidR="007D2C46">
              <w:rPr>
                <w:noProof/>
                <w:webHidden/>
              </w:rPr>
            </w:r>
            <w:r w:rsidR="007D2C46">
              <w:rPr>
                <w:noProof/>
                <w:webHidden/>
              </w:rPr>
              <w:fldChar w:fldCharType="separate"/>
            </w:r>
            <w:r w:rsidR="007D2C46">
              <w:rPr>
                <w:noProof/>
                <w:webHidden/>
              </w:rPr>
              <w:t>23</w:t>
            </w:r>
            <w:r w:rsidR="007D2C46">
              <w:rPr>
                <w:noProof/>
                <w:webHidden/>
              </w:rPr>
              <w:fldChar w:fldCharType="end"/>
            </w:r>
          </w:hyperlink>
        </w:p>
        <w:p w:rsidR="007D2C46" w:rsidRDefault="00346491">
          <w:pPr>
            <w:pStyle w:val="TM3"/>
            <w:tabs>
              <w:tab w:val="left" w:pos="880"/>
              <w:tab w:val="right" w:leader="dot" w:pos="9628"/>
            </w:tabs>
            <w:rPr>
              <w:rFonts w:asciiTheme="minorHAnsi" w:eastAsiaTheme="minorEastAsia" w:hAnsiTheme="minorHAnsi"/>
              <w:noProof/>
              <w:lang w:eastAsia="fr-FR"/>
            </w:rPr>
          </w:pPr>
          <w:hyperlink w:anchor="_Toc509490440" w:history="1">
            <w:r w:rsidR="007D2C46" w:rsidRPr="003D1968">
              <w:rPr>
                <w:rStyle w:val="Lienhypertexte"/>
                <w:noProof/>
              </w:rPr>
              <w:t>2.</w:t>
            </w:r>
            <w:r w:rsidR="007D2C46">
              <w:rPr>
                <w:rFonts w:asciiTheme="minorHAnsi" w:eastAsiaTheme="minorEastAsia" w:hAnsiTheme="minorHAnsi"/>
                <w:noProof/>
                <w:lang w:eastAsia="fr-FR"/>
              </w:rPr>
              <w:tab/>
            </w:r>
            <w:r w:rsidR="007D2C46" w:rsidRPr="003D1968">
              <w:rPr>
                <w:rStyle w:val="Lienhypertexte"/>
                <w:noProof/>
              </w:rPr>
              <w:t>Les dépenses réelles</w:t>
            </w:r>
            <w:r w:rsidR="007D2C46">
              <w:rPr>
                <w:noProof/>
                <w:webHidden/>
              </w:rPr>
              <w:tab/>
            </w:r>
            <w:r w:rsidR="007D2C46">
              <w:rPr>
                <w:noProof/>
                <w:webHidden/>
              </w:rPr>
              <w:fldChar w:fldCharType="begin"/>
            </w:r>
            <w:r w:rsidR="007D2C46">
              <w:rPr>
                <w:noProof/>
                <w:webHidden/>
              </w:rPr>
              <w:instrText xml:space="preserve"> PAGEREF _Toc509490440 \h </w:instrText>
            </w:r>
            <w:r w:rsidR="007D2C46">
              <w:rPr>
                <w:noProof/>
                <w:webHidden/>
              </w:rPr>
            </w:r>
            <w:r w:rsidR="007D2C46">
              <w:rPr>
                <w:noProof/>
                <w:webHidden/>
              </w:rPr>
              <w:fldChar w:fldCharType="separate"/>
            </w:r>
            <w:r w:rsidR="007D2C46">
              <w:rPr>
                <w:noProof/>
                <w:webHidden/>
              </w:rPr>
              <w:t>23</w:t>
            </w:r>
            <w:r w:rsidR="007D2C46">
              <w:rPr>
                <w:noProof/>
                <w:webHidden/>
              </w:rPr>
              <w:fldChar w:fldCharType="end"/>
            </w:r>
          </w:hyperlink>
        </w:p>
        <w:p w:rsidR="007D2C46" w:rsidRDefault="00346491">
          <w:pPr>
            <w:pStyle w:val="TM1"/>
            <w:rPr>
              <w:rFonts w:asciiTheme="minorHAnsi" w:eastAsiaTheme="minorEastAsia" w:hAnsiTheme="minorHAnsi" w:cstheme="minorBidi"/>
              <w:b w:val="0"/>
              <w:color w:val="auto"/>
              <w:lang w:eastAsia="fr-FR"/>
            </w:rPr>
          </w:pPr>
          <w:hyperlink w:anchor="_Toc509490441" w:history="1">
            <w:r w:rsidR="007D2C46" w:rsidRPr="003D1968">
              <w:rPr>
                <w:rStyle w:val="Lienhypertexte"/>
              </w:rPr>
              <w:t>III.</w:t>
            </w:r>
            <w:r w:rsidR="007D2C46">
              <w:rPr>
                <w:rFonts w:asciiTheme="minorHAnsi" w:eastAsiaTheme="minorEastAsia" w:hAnsiTheme="minorHAnsi" w:cstheme="minorBidi"/>
                <w:b w:val="0"/>
                <w:color w:val="auto"/>
                <w:lang w:eastAsia="fr-FR"/>
              </w:rPr>
              <w:tab/>
            </w:r>
            <w:r w:rsidR="007D2C46" w:rsidRPr="003D1968">
              <w:rPr>
                <w:rStyle w:val="Lienhypertexte"/>
              </w:rPr>
              <w:t>LE BUDGET ANNEXE D’ASSAINISSEMENT</w:t>
            </w:r>
            <w:r w:rsidR="007D2C46">
              <w:rPr>
                <w:webHidden/>
              </w:rPr>
              <w:tab/>
            </w:r>
            <w:r w:rsidR="007D2C46">
              <w:rPr>
                <w:webHidden/>
              </w:rPr>
              <w:fldChar w:fldCharType="begin"/>
            </w:r>
            <w:r w:rsidR="007D2C46">
              <w:rPr>
                <w:webHidden/>
              </w:rPr>
              <w:instrText xml:space="preserve"> PAGEREF _Toc509490441 \h </w:instrText>
            </w:r>
            <w:r w:rsidR="007D2C46">
              <w:rPr>
                <w:webHidden/>
              </w:rPr>
            </w:r>
            <w:r w:rsidR="007D2C46">
              <w:rPr>
                <w:webHidden/>
              </w:rPr>
              <w:fldChar w:fldCharType="separate"/>
            </w:r>
            <w:r w:rsidR="007D2C46">
              <w:rPr>
                <w:webHidden/>
              </w:rPr>
              <w:t>24</w:t>
            </w:r>
            <w:r w:rsidR="007D2C46">
              <w:rPr>
                <w:webHidden/>
              </w:rPr>
              <w:fldChar w:fldCharType="end"/>
            </w:r>
          </w:hyperlink>
        </w:p>
        <w:p w:rsidR="007D2C46" w:rsidRDefault="00346491">
          <w:pPr>
            <w:pStyle w:val="TM2"/>
            <w:rPr>
              <w:rFonts w:asciiTheme="minorHAnsi" w:eastAsiaTheme="minorEastAsia" w:hAnsiTheme="minorHAnsi" w:cstheme="minorBidi"/>
              <w:b w:val="0"/>
              <w:lang w:eastAsia="fr-FR"/>
            </w:rPr>
          </w:pPr>
          <w:hyperlink w:anchor="_Toc509490442" w:history="1">
            <w:r w:rsidR="007D2C46" w:rsidRPr="003D1968">
              <w:rPr>
                <w:rStyle w:val="Lienhypertexte"/>
              </w:rPr>
              <w:t>A.</w:t>
            </w:r>
            <w:r w:rsidR="007D2C46">
              <w:rPr>
                <w:rFonts w:asciiTheme="minorHAnsi" w:eastAsiaTheme="minorEastAsia" w:hAnsiTheme="minorHAnsi" w:cstheme="minorBidi"/>
                <w:b w:val="0"/>
                <w:lang w:eastAsia="fr-FR"/>
              </w:rPr>
              <w:tab/>
            </w:r>
            <w:r w:rsidR="007D2C46" w:rsidRPr="003D1968">
              <w:rPr>
                <w:rStyle w:val="Lienhypertexte"/>
              </w:rPr>
              <w:t>Le fonctionnement</w:t>
            </w:r>
            <w:r w:rsidR="007D2C46">
              <w:rPr>
                <w:webHidden/>
              </w:rPr>
              <w:tab/>
            </w:r>
            <w:r w:rsidR="007D2C46">
              <w:rPr>
                <w:webHidden/>
              </w:rPr>
              <w:fldChar w:fldCharType="begin"/>
            </w:r>
            <w:r w:rsidR="007D2C46">
              <w:rPr>
                <w:webHidden/>
              </w:rPr>
              <w:instrText xml:space="preserve"> PAGEREF _Toc509490442 \h </w:instrText>
            </w:r>
            <w:r w:rsidR="007D2C46">
              <w:rPr>
                <w:webHidden/>
              </w:rPr>
            </w:r>
            <w:r w:rsidR="007D2C46">
              <w:rPr>
                <w:webHidden/>
              </w:rPr>
              <w:fldChar w:fldCharType="separate"/>
            </w:r>
            <w:r w:rsidR="007D2C46">
              <w:rPr>
                <w:webHidden/>
              </w:rPr>
              <w:t>24</w:t>
            </w:r>
            <w:r w:rsidR="007D2C46">
              <w:rPr>
                <w:webHidden/>
              </w:rPr>
              <w:fldChar w:fldCharType="end"/>
            </w:r>
          </w:hyperlink>
        </w:p>
        <w:p w:rsidR="007D2C46" w:rsidRDefault="00346491">
          <w:pPr>
            <w:pStyle w:val="TM3"/>
            <w:tabs>
              <w:tab w:val="left" w:pos="880"/>
              <w:tab w:val="right" w:leader="dot" w:pos="9628"/>
            </w:tabs>
            <w:rPr>
              <w:rFonts w:asciiTheme="minorHAnsi" w:eastAsiaTheme="minorEastAsia" w:hAnsiTheme="minorHAnsi"/>
              <w:noProof/>
              <w:lang w:eastAsia="fr-FR"/>
            </w:rPr>
          </w:pPr>
          <w:hyperlink w:anchor="_Toc509490443" w:history="1">
            <w:r w:rsidR="007D2C46" w:rsidRPr="003D1968">
              <w:rPr>
                <w:rStyle w:val="Lienhypertexte"/>
                <w:noProof/>
              </w:rPr>
              <w:t>1.</w:t>
            </w:r>
            <w:r w:rsidR="007D2C46">
              <w:rPr>
                <w:rFonts w:asciiTheme="minorHAnsi" w:eastAsiaTheme="minorEastAsia" w:hAnsiTheme="minorHAnsi"/>
                <w:noProof/>
                <w:lang w:eastAsia="fr-FR"/>
              </w:rPr>
              <w:tab/>
            </w:r>
            <w:r w:rsidR="007D2C46" w:rsidRPr="003D1968">
              <w:rPr>
                <w:rStyle w:val="Lienhypertexte"/>
                <w:noProof/>
              </w:rPr>
              <w:t>Les recettes d’exploitation</w:t>
            </w:r>
            <w:r w:rsidR="007D2C46">
              <w:rPr>
                <w:noProof/>
                <w:webHidden/>
              </w:rPr>
              <w:tab/>
            </w:r>
            <w:r w:rsidR="007D2C46">
              <w:rPr>
                <w:noProof/>
                <w:webHidden/>
              </w:rPr>
              <w:fldChar w:fldCharType="begin"/>
            </w:r>
            <w:r w:rsidR="007D2C46">
              <w:rPr>
                <w:noProof/>
                <w:webHidden/>
              </w:rPr>
              <w:instrText xml:space="preserve"> PAGEREF _Toc509490443 \h </w:instrText>
            </w:r>
            <w:r w:rsidR="007D2C46">
              <w:rPr>
                <w:noProof/>
                <w:webHidden/>
              </w:rPr>
            </w:r>
            <w:r w:rsidR="007D2C46">
              <w:rPr>
                <w:noProof/>
                <w:webHidden/>
              </w:rPr>
              <w:fldChar w:fldCharType="separate"/>
            </w:r>
            <w:r w:rsidR="007D2C46">
              <w:rPr>
                <w:noProof/>
                <w:webHidden/>
              </w:rPr>
              <w:t>24</w:t>
            </w:r>
            <w:r w:rsidR="007D2C46">
              <w:rPr>
                <w:noProof/>
                <w:webHidden/>
              </w:rPr>
              <w:fldChar w:fldCharType="end"/>
            </w:r>
          </w:hyperlink>
        </w:p>
        <w:p w:rsidR="007D2C46" w:rsidRDefault="00346491">
          <w:pPr>
            <w:pStyle w:val="TM3"/>
            <w:tabs>
              <w:tab w:val="left" w:pos="880"/>
              <w:tab w:val="right" w:leader="dot" w:pos="9628"/>
            </w:tabs>
            <w:rPr>
              <w:rFonts w:asciiTheme="minorHAnsi" w:eastAsiaTheme="minorEastAsia" w:hAnsiTheme="minorHAnsi"/>
              <w:noProof/>
              <w:lang w:eastAsia="fr-FR"/>
            </w:rPr>
          </w:pPr>
          <w:hyperlink w:anchor="_Toc509490444" w:history="1">
            <w:r w:rsidR="007D2C46" w:rsidRPr="003D1968">
              <w:rPr>
                <w:rStyle w:val="Lienhypertexte"/>
                <w:noProof/>
              </w:rPr>
              <w:t>2.</w:t>
            </w:r>
            <w:r w:rsidR="007D2C46">
              <w:rPr>
                <w:rFonts w:asciiTheme="minorHAnsi" w:eastAsiaTheme="minorEastAsia" w:hAnsiTheme="minorHAnsi"/>
                <w:noProof/>
                <w:lang w:eastAsia="fr-FR"/>
              </w:rPr>
              <w:tab/>
            </w:r>
            <w:r w:rsidR="007D2C46" w:rsidRPr="003D1968">
              <w:rPr>
                <w:rStyle w:val="Lienhypertexte"/>
                <w:noProof/>
              </w:rPr>
              <w:t>Les dépenses d’exploitation</w:t>
            </w:r>
            <w:r w:rsidR="007D2C46">
              <w:rPr>
                <w:noProof/>
                <w:webHidden/>
              </w:rPr>
              <w:tab/>
            </w:r>
            <w:r w:rsidR="007D2C46">
              <w:rPr>
                <w:noProof/>
                <w:webHidden/>
              </w:rPr>
              <w:fldChar w:fldCharType="begin"/>
            </w:r>
            <w:r w:rsidR="007D2C46">
              <w:rPr>
                <w:noProof/>
                <w:webHidden/>
              </w:rPr>
              <w:instrText xml:space="preserve"> PAGEREF _Toc509490444 \h </w:instrText>
            </w:r>
            <w:r w:rsidR="007D2C46">
              <w:rPr>
                <w:noProof/>
                <w:webHidden/>
              </w:rPr>
            </w:r>
            <w:r w:rsidR="007D2C46">
              <w:rPr>
                <w:noProof/>
                <w:webHidden/>
              </w:rPr>
              <w:fldChar w:fldCharType="separate"/>
            </w:r>
            <w:r w:rsidR="007D2C46">
              <w:rPr>
                <w:noProof/>
                <w:webHidden/>
              </w:rPr>
              <w:t>25</w:t>
            </w:r>
            <w:r w:rsidR="007D2C46">
              <w:rPr>
                <w:noProof/>
                <w:webHidden/>
              </w:rPr>
              <w:fldChar w:fldCharType="end"/>
            </w:r>
          </w:hyperlink>
        </w:p>
        <w:p w:rsidR="007D2C46" w:rsidRDefault="00346491">
          <w:pPr>
            <w:pStyle w:val="TM2"/>
            <w:rPr>
              <w:rFonts w:asciiTheme="minorHAnsi" w:eastAsiaTheme="minorEastAsia" w:hAnsiTheme="minorHAnsi" w:cstheme="minorBidi"/>
              <w:b w:val="0"/>
              <w:lang w:eastAsia="fr-FR"/>
            </w:rPr>
          </w:pPr>
          <w:hyperlink w:anchor="_Toc509490445" w:history="1">
            <w:r w:rsidR="007D2C46" w:rsidRPr="003D1968">
              <w:rPr>
                <w:rStyle w:val="Lienhypertexte"/>
              </w:rPr>
              <w:t>B.</w:t>
            </w:r>
            <w:r w:rsidR="007D2C46">
              <w:rPr>
                <w:rFonts w:asciiTheme="minorHAnsi" w:eastAsiaTheme="minorEastAsia" w:hAnsiTheme="minorHAnsi" w:cstheme="minorBidi"/>
                <w:b w:val="0"/>
                <w:lang w:eastAsia="fr-FR"/>
              </w:rPr>
              <w:tab/>
            </w:r>
            <w:r w:rsidR="007D2C46" w:rsidRPr="003D1968">
              <w:rPr>
                <w:rStyle w:val="Lienhypertexte"/>
              </w:rPr>
              <w:t>L’investissement</w:t>
            </w:r>
            <w:r w:rsidR="007D2C46">
              <w:rPr>
                <w:webHidden/>
              </w:rPr>
              <w:tab/>
            </w:r>
            <w:r w:rsidR="007D2C46">
              <w:rPr>
                <w:webHidden/>
              </w:rPr>
              <w:fldChar w:fldCharType="begin"/>
            </w:r>
            <w:r w:rsidR="007D2C46">
              <w:rPr>
                <w:webHidden/>
              </w:rPr>
              <w:instrText xml:space="preserve"> PAGEREF _Toc509490445 \h </w:instrText>
            </w:r>
            <w:r w:rsidR="007D2C46">
              <w:rPr>
                <w:webHidden/>
              </w:rPr>
            </w:r>
            <w:r w:rsidR="007D2C46">
              <w:rPr>
                <w:webHidden/>
              </w:rPr>
              <w:fldChar w:fldCharType="separate"/>
            </w:r>
            <w:r w:rsidR="007D2C46">
              <w:rPr>
                <w:webHidden/>
              </w:rPr>
              <w:t>26</w:t>
            </w:r>
            <w:r w:rsidR="007D2C46">
              <w:rPr>
                <w:webHidden/>
              </w:rPr>
              <w:fldChar w:fldCharType="end"/>
            </w:r>
          </w:hyperlink>
        </w:p>
        <w:p w:rsidR="007D2C46" w:rsidRDefault="00346491">
          <w:pPr>
            <w:pStyle w:val="TM3"/>
            <w:tabs>
              <w:tab w:val="left" w:pos="880"/>
              <w:tab w:val="right" w:leader="dot" w:pos="9628"/>
            </w:tabs>
            <w:rPr>
              <w:rFonts w:asciiTheme="minorHAnsi" w:eastAsiaTheme="minorEastAsia" w:hAnsiTheme="minorHAnsi"/>
              <w:noProof/>
              <w:lang w:eastAsia="fr-FR"/>
            </w:rPr>
          </w:pPr>
          <w:hyperlink w:anchor="_Toc509490446" w:history="1">
            <w:r w:rsidR="007D2C46" w:rsidRPr="003D1968">
              <w:rPr>
                <w:rStyle w:val="Lienhypertexte"/>
                <w:noProof/>
              </w:rPr>
              <w:t>1.</w:t>
            </w:r>
            <w:r w:rsidR="007D2C46">
              <w:rPr>
                <w:rFonts w:asciiTheme="minorHAnsi" w:eastAsiaTheme="minorEastAsia" w:hAnsiTheme="minorHAnsi"/>
                <w:noProof/>
                <w:lang w:eastAsia="fr-FR"/>
              </w:rPr>
              <w:tab/>
            </w:r>
            <w:r w:rsidR="007D2C46" w:rsidRPr="003D1968">
              <w:rPr>
                <w:rStyle w:val="Lienhypertexte"/>
                <w:noProof/>
              </w:rPr>
              <w:t>Les recettes d’investissement</w:t>
            </w:r>
            <w:r w:rsidR="007D2C46">
              <w:rPr>
                <w:noProof/>
                <w:webHidden/>
              </w:rPr>
              <w:tab/>
            </w:r>
            <w:r w:rsidR="007D2C46">
              <w:rPr>
                <w:noProof/>
                <w:webHidden/>
              </w:rPr>
              <w:fldChar w:fldCharType="begin"/>
            </w:r>
            <w:r w:rsidR="007D2C46">
              <w:rPr>
                <w:noProof/>
                <w:webHidden/>
              </w:rPr>
              <w:instrText xml:space="preserve"> PAGEREF _Toc509490446 \h </w:instrText>
            </w:r>
            <w:r w:rsidR="007D2C46">
              <w:rPr>
                <w:noProof/>
                <w:webHidden/>
              </w:rPr>
            </w:r>
            <w:r w:rsidR="007D2C46">
              <w:rPr>
                <w:noProof/>
                <w:webHidden/>
              </w:rPr>
              <w:fldChar w:fldCharType="separate"/>
            </w:r>
            <w:r w:rsidR="007D2C46">
              <w:rPr>
                <w:noProof/>
                <w:webHidden/>
              </w:rPr>
              <w:t>26</w:t>
            </w:r>
            <w:r w:rsidR="007D2C46">
              <w:rPr>
                <w:noProof/>
                <w:webHidden/>
              </w:rPr>
              <w:fldChar w:fldCharType="end"/>
            </w:r>
          </w:hyperlink>
        </w:p>
        <w:p w:rsidR="007D2C46" w:rsidRDefault="00346491">
          <w:pPr>
            <w:pStyle w:val="TM3"/>
            <w:tabs>
              <w:tab w:val="left" w:pos="880"/>
              <w:tab w:val="right" w:leader="dot" w:pos="9628"/>
            </w:tabs>
            <w:rPr>
              <w:rFonts w:asciiTheme="minorHAnsi" w:eastAsiaTheme="minorEastAsia" w:hAnsiTheme="minorHAnsi"/>
              <w:noProof/>
              <w:lang w:eastAsia="fr-FR"/>
            </w:rPr>
          </w:pPr>
          <w:hyperlink w:anchor="_Toc509490447" w:history="1">
            <w:r w:rsidR="007D2C46" w:rsidRPr="003D1968">
              <w:rPr>
                <w:rStyle w:val="Lienhypertexte"/>
                <w:noProof/>
              </w:rPr>
              <w:t>2.</w:t>
            </w:r>
            <w:r w:rsidR="007D2C46">
              <w:rPr>
                <w:rFonts w:asciiTheme="minorHAnsi" w:eastAsiaTheme="minorEastAsia" w:hAnsiTheme="minorHAnsi"/>
                <w:noProof/>
                <w:lang w:eastAsia="fr-FR"/>
              </w:rPr>
              <w:tab/>
            </w:r>
            <w:r w:rsidR="007D2C46" w:rsidRPr="003D1968">
              <w:rPr>
                <w:rStyle w:val="Lienhypertexte"/>
                <w:noProof/>
              </w:rPr>
              <w:t>Les dépenses d’investissement</w:t>
            </w:r>
            <w:r w:rsidR="007D2C46">
              <w:rPr>
                <w:noProof/>
                <w:webHidden/>
              </w:rPr>
              <w:tab/>
            </w:r>
            <w:r w:rsidR="007D2C46">
              <w:rPr>
                <w:noProof/>
                <w:webHidden/>
              </w:rPr>
              <w:fldChar w:fldCharType="begin"/>
            </w:r>
            <w:r w:rsidR="007D2C46">
              <w:rPr>
                <w:noProof/>
                <w:webHidden/>
              </w:rPr>
              <w:instrText xml:space="preserve"> PAGEREF _Toc509490447 \h </w:instrText>
            </w:r>
            <w:r w:rsidR="007D2C46">
              <w:rPr>
                <w:noProof/>
                <w:webHidden/>
              </w:rPr>
            </w:r>
            <w:r w:rsidR="007D2C46">
              <w:rPr>
                <w:noProof/>
                <w:webHidden/>
              </w:rPr>
              <w:fldChar w:fldCharType="separate"/>
            </w:r>
            <w:r w:rsidR="007D2C46">
              <w:rPr>
                <w:noProof/>
                <w:webHidden/>
              </w:rPr>
              <w:t>26</w:t>
            </w:r>
            <w:r w:rsidR="007D2C46">
              <w:rPr>
                <w:noProof/>
                <w:webHidden/>
              </w:rPr>
              <w:fldChar w:fldCharType="end"/>
            </w:r>
          </w:hyperlink>
        </w:p>
        <w:p w:rsidR="007D2C46" w:rsidRDefault="00346491">
          <w:pPr>
            <w:pStyle w:val="TM1"/>
            <w:rPr>
              <w:rFonts w:asciiTheme="minorHAnsi" w:eastAsiaTheme="minorEastAsia" w:hAnsiTheme="minorHAnsi" w:cstheme="minorBidi"/>
              <w:b w:val="0"/>
              <w:color w:val="auto"/>
              <w:lang w:eastAsia="fr-FR"/>
            </w:rPr>
          </w:pPr>
          <w:hyperlink w:anchor="_Toc509490448" w:history="1">
            <w:r w:rsidR="007D2C46" w:rsidRPr="003D1968">
              <w:rPr>
                <w:rStyle w:val="Lienhypertexte"/>
              </w:rPr>
              <w:t>IV.</w:t>
            </w:r>
            <w:r w:rsidR="007D2C46">
              <w:rPr>
                <w:rFonts w:asciiTheme="minorHAnsi" w:eastAsiaTheme="minorEastAsia" w:hAnsiTheme="minorHAnsi" w:cstheme="minorBidi"/>
                <w:b w:val="0"/>
                <w:color w:val="auto"/>
                <w:lang w:eastAsia="fr-FR"/>
              </w:rPr>
              <w:tab/>
            </w:r>
            <w:r w:rsidR="007D2C46" w:rsidRPr="003D1968">
              <w:rPr>
                <w:rStyle w:val="Lienhypertexte"/>
              </w:rPr>
              <w:t>LE BUDGET ANNEXE DES PROJETS D’AMÉNAGEMENT</w:t>
            </w:r>
            <w:r w:rsidR="007D2C46">
              <w:rPr>
                <w:webHidden/>
              </w:rPr>
              <w:tab/>
            </w:r>
            <w:r w:rsidR="007D2C46">
              <w:rPr>
                <w:webHidden/>
              </w:rPr>
              <w:fldChar w:fldCharType="begin"/>
            </w:r>
            <w:r w:rsidR="007D2C46">
              <w:rPr>
                <w:webHidden/>
              </w:rPr>
              <w:instrText xml:space="preserve"> PAGEREF _Toc509490448 \h </w:instrText>
            </w:r>
            <w:r w:rsidR="007D2C46">
              <w:rPr>
                <w:webHidden/>
              </w:rPr>
            </w:r>
            <w:r w:rsidR="007D2C46">
              <w:rPr>
                <w:webHidden/>
              </w:rPr>
              <w:fldChar w:fldCharType="separate"/>
            </w:r>
            <w:r w:rsidR="007D2C46">
              <w:rPr>
                <w:webHidden/>
              </w:rPr>
              <w:t>28</w:t>
            </w:r>
            <w:r w:rsidR="007D2C46">
              <w:rPr>
                <w:webHidden/>
              </w:rPr>
              <w:fldChar w:fldCharType="end"/>
            </w:r>
          </w:hyperlink>
        </w:p>
        <w:p w:rsidR="007D2C46" w:rsidRDefault="00346491">
          <w:pPr>
            <w:pStyle w:val="TM2"/>
            <w:rPr>
              <w:rFonts w:asciiTheme="minorHAnsi" w:eastAsiaTheme="minorEastAsia" w:hAnsiTheme="minorHAnsi" w:cstheme="minorBidi"/>
              <w:b w:val="0"/>
              <w:lang w:eastAsia="fr-FR"/>
            </w:rPr>
          </w:pPr>
          <w:hyperlink w:anchor="_Toc509490449" w:history="1">
            <w:r w:rsidR="007D2C46" w:rsidRPr="003D1968">
              <w:rPr>
                <w:rStyle w:val="Lienhypertexte"/>
              </w:rPr>
              <w:t>A.</w:t>
            </w:r>
            <w:r w:rsidR="007D2C46">
              <w:rPr>
                <w:rFonts w:asciiTheme="minorHAnsi" w:eastAsiaTheme="minorEastAsia" w:hAnsiTheme="minorHAnsi" w:cstheme="minorBidi"/>
                <w:b w:val="0"/>
                <w:lang w:eastAsia="fr-FR"/>
              </w:rPr>
              <w:tab/>
            </w:r>
            <w:r w:rsidR="007D2C46" w:rsidRPr="003D1968">
              <w:rPr>
                <w:rStyle w:val="Lienhypertexte"/>
              </w:rPr>
              <w:t>Le fonctionnement</w:t>
            </w:r>
            <w:r w:rsidR="007D2C46">
              <w:rPr>
                <w:webHidden/>
              </w:rPr>
              <w:tab/>
            </w:r>
            <w:r w:rsidR="007D2C46">
              <w:rPr>
                <w:webHidden/>
              </w:rPr>
              <w:fldChar w:fldCharType="begin"/>
            </w:r>
            <w:r w:rsidR="007D2C46">
              <w:rPr>
                <w:webHidden/>
              </w:rPr>
              <w:instrText xml:space="preserve"> PAGEREF _Toc509490449 \h </w:instrText>
            </w:r>
            <w:r w:rsidR="007D2C46">
              <w:rPr>
                <w:webHidden/>
              </w:rPr>
            </w:r>
            <w:r w:rsidR="007D2C46">
              <w:rPr>
                <w:webHidden/>
              </w:rPr>
              <w:fldChar w:fldCharType="separate"/>
            </w:r>
            <w:r w:rsidR="007D2C46">
              <w:rPr>
                <w:webHidden/>
              </w:rPr>
              <w:t>28</w:t>
            </w:r>
            <w:r w:rsidR="007D2C46">
              <w:rPr>
                <w:webHidden/>
              </w:rPr>
              <w:fldChar w:fldCharType="end"/>
            </w:r>
          </w:hyperlink>
        </w:p>
        <w:p w:rsidR="007D2C46" w:rsidRDefault="00346491">
          <w:pPr>
            <w:pStyle w:val="TM3"/>
            <w:tabs>
              <w:tab w:val="left" w:pos="880"/>
              <w:tab w:val="right" w:leader="dot" w:pos="9628"/>
            </w:tabs>
            <w:rPr>
              <w:rFonts w:asciiTheme="minorHAnsi" w:eastAsiaTheme="minorEastAsia" w:hAnsiTheme="minorHAnsi"/>
              <w:noProof/>
              <w:lang w:eastAsia="fr-FR"/>
            </w:rPr>
          </w:pPr>
          <w:hyperlink w:anchor="_Toc509490450" w:history="1">
            <w:r w:rsidR="007D2C46" w:rsidRPr="003D1968">
              <w:rPr>
                <w:rStyle w:val="Lienhypertexte"/>
                <w:noProof/>
              </w:rPr>
              <w:t>1.</w:t>
            </w:r>
            <w:r w:rsidR="007D2C46">
              <w:rPr>
                <w:rFonts w:asciiTheme="minorHAnsi" w:eastAsiaTheme="minorEastAsia" w:hAnsiTheme="minorHAnsi"/>
                <w:noProof/>
                <w:lang w:eastAsia="fr-FR"/>
              </w:rPr>
              <w:tab/>
            </w:r>
            <w:r w:rsidR="007D2C46" w:rsidRPr="003D1968">
              <w:rPr>
                <w:rStyle w:val="Lienhypertexte"/>
                <w:noProof/>
              </w:rPr>
              <w:t>Les recettes de fonctionnement</w:t>
            </w:r>
            <w:r w:rsidR="007D2C46">
              <w:rPr>
                <w:noProof/>
                <w:webHidden/>
              </w:rPr>
              <w:tab/>
            </w:r>
            <w:r w:rsidR="007D2C46">
              <w:rPr>
                <w:noProof/>
                <w:webHidden/>
              </w:rPr>
              <w:fldChar w:fldCharType="begin"/>
            </w:r>
            <w:r w:rsidR="007D2C46">
              <w:rPr>
                <w:noProof/>
                <w:webHidden/>
              </w:rPr>
              <w:instrText xml:space="preserve"> PAGEREF _Toc509490450 \h </w:instrText>
            </w:r>
            <w:r w:rsidR="007D2C46">
              <w:rPr>
                <w:noProof/>
                <w:webHidden/>
              </w:rPr>
            </w:r>
            <w:r w:rsidR="007D2C46">
              <w:rPr>
                <w:noProof/>
                <w:webHidden/>
              </w:rPr>
              <w:fldChar w:fldCharType="separate"/>
            </w:r>
            <w:r w:rsidR="007D2C46">
              <w:rPr>
                <w:noProof/>
                <w:webHidden/>
              </w:rPr>
              <w:t>28</w:t>
            </w:r>
            <w:r w:rsidR="007D2C46">
              <w:rPr>
                <w:noProof/>
                <w:webHidden/>
              </w:rPr>
              <w:fldChar w:fldCharType="end"/>
            </w:r>
          </w:hyperlink>
        </w:p>
        <w:p w:rsidR="007D2C46" w:rsidRDefault="00346491">
          <w:pPr>
            <w:pStyle w:val="TM3"/>
            <w:tabs>
              <w:tab w:val="left" w:pos="880"/>
              <w:tab w:val="right" w:leader="dot" w:pos="9628"/>
            </w:tabs>
            <w:rPr>
              <w:rFonts w:asciiTheme="minorHAnsi" w:eastAsiaTheme="minorEastAsia" w:hAnsiTheme="minorHAnsi"/>
              <w:noProof/>
              <w:lang w:eastAsia="fr-FR"/>
            </w:rPr>
          </w:pPr>
          <w:hyperlink w:anchor="_Toc509490451" w:history="1">
            <w:r w:rsidR="007D2C46" w:rsidRPr="003D1968">
              <w:rPr>
                <w:rStyle w:val="Lienhypertexte"/>
                <w:noProof/>
              </w:rPr>
              <w:t>2.</w:t>
            </w:r>
            <w:r w:rsidR="007D2C46">
              <w:rPr>
                <w:rFonts w:asciiTheme="minorHAnsi" w:eastAsiaTheme="minorEastAsia" w:hAnsiTheme="minorHAnsi"/>
                <w:noProof/>
                <w:lang w:eastAsia="fr-FR"/>
              </w:rPr>
              <w:tab/>
            </w:r>
            <w:r w:rsidR="007D2C46" w:rsidRPr="003D1968">
              <w:rPr>
                <w:rStyle w:val="Lienhypertexte"/>
                <w:noProof/>
              </w:rPr>
              <w:t>Les dépenses de fonctionnement</w:t>
            </w:r>
            <w:r w:rsidR="007D2C46">
              <w:rPr>
                <w:noProof/>
                <w:webHidden/>
              </w:rPr>
              <w:tab/>
            </w:r>
            <w:r w:rsidR="007D2C46">
              <w:rPr>
                <w:noProof/>
                <w:webHidden/>
              </w:rPr>
              <w:fldChar w:fldCharType="begin"/>
            </w:r>
            <w:r w:rsidR="007D2C46">
              <w:rPr>
                <w:noProof/>
                <w:webHidden/>
              </w:rPr>
              <w:instrText xml:space="preserve"> PAGEREF _Toc509490451 \h </w:instrText>
            </w:r>
            <w:r w:rsidR="007D2C46">
              <w:rPr>
                <w:noProof/>
                <w:webHidden/>
              </w:rPr>
            </w:r>
            <w:r w:rsidR="007D2C46">
              <w:rPr>
                <w:noProof/>
                <w:webHidden/>
              </w:rPr>
              <w:fldChar w:fldCharType="separate"/>
            </w:r>
            <w:r w:rsidR="007D2C46">
              <w:rPr>
                <w:noProof/>
                <w:webHidden/>
              </w:rPr>
              <w:t>28</w:t>
            </w:r>
            <w:r w:rsidR="007D2C46">
              <w:rPr>
                <w:noProof/>
                <w:webHidden/>
              </w:rPr>
              <w:fldChar w:fldCharType="end"/>
            </w:r>
          </w:hyperlink>
        </w:p>
        <w:p w:rsidR="007D2C46" w:rsidRDefault="00346491">
          <w:pPr>
            <w:pStyle w:val="TM2"/>
            <w:rPr>
              <w:rFonts w:asciiTheme="minorHAnsi" w:eastAsiaTheme="minorEastAsia" w:hAnsiTheme="minorHAnsi" w:cstheme="minorBidi"/>
              <w:b w:val="0"/>
              <w:lang w:eastAsia="fr-FR"/>
            </w:rPr>
          </w:pPr>
          <w:hyperlink w:anchor="_Toc509490452" w:history="1">
            <w:r w:rsidR="007D2C46" w:rsidRPr="003D1968">
              <w:rPr>
                <w:rStyle w:val="Lienhypertexte"/>
              </w:rPr>
              <w:t>B.</w:t>
            </w:r>
            <w:r w:rsidR="007D2C46">
              <w:rPr>
                <w:rFonts w:asciiTheme="minorHAnsi" w:eastAsiaTheme="minorEastAsia" w:hAnsiTheme="minorHAnsi" w:cstheme="minorBidi"/>
                <w:b w:val="0"/>
                <w:lang w:eastAsia="fr-FR"/>
              </w:rPr>
              <w:tab/>
            </w:r>
            <w:r w:rsidR="007D2C46" w:rsidRPr="003D1968">
              <w:rPr>
                <w:rStyle w:val="Lienhypertexte"/>
              </w:rPr>
              <w:t>L’investissement (hors ZAC des Lilas)</w:t>
            </w:r>
            <w:r w:rsidR="007D2C46">
              <w:rPr>
                <w:webHidden/>
              </w:rPr>
              <w:tab/>
            </w:r>
            <w:r w:rsidR="007D2C46">
              <w:rPr>
                <w:webHidden/>
              </w:rPr>
              <w:fldChar w:fldCharType="begin"/>
            </w:r>
            <w:r w:rsidR="007D2C46">
              <w:rPr>
                <w:webHidden/>
              </w:rPr>
              <w:instrText xml:space="preserve"> PAGEREF _Toc509490452 \h </w:instrText>
            </w:r>
            <w:r w:rsidR="007D2C46">
              <w:rPr>
                <w:webHidden/>
              </w:rPr>
            </w:r>
            <w:r w:rsidR="007D2C46">
              <w:rPr>
                <w:webHidden/>
              </w:rPr>
              <w:fldChar w:fldCharType="separate"/>
            </w:r>
            <w:r w:rsidR="007D2C46">
              <w:rPr>
                <w:webHidden/>
              </w:rPr>
              <w:t>29</w:t>
            </w:r>
            <w:r w:rsidR="007D2C46">
              <w:rPr>
                <w:webHidden/>
              </w:rPr>
              <w:fldChar w:fldCharType="end"/>
            </w:r>
          </w:hyperlink>
        </w:p>
        <w:p w:rsidR="007D2C46" w:rsidRDefault="00346491">
          <w:pPr>
            <w:pStyle w:val="TM3"/>
            <w:tabs>
              <w:tab w:val="left" w:pos="880"/>
              <w:tab w:val="right" w:leader="dot" w:pos="9628"/>
            </w:tabs>
            <w:rPr>
              <w:rFonts w:asciiTheme="minorHAnsi" w:eastAsiaTheme="minorEastAsia" w:hAnsiTheme="minorHAnsi"/>
              <w:noProof/>
              <w:lang w:eastAsia="fr-FR"/>
            </w:rPr>
          </w:pPr>
          <w:hyperlink w:anchor="_Toc509490453" w:history="1">
            <w:r w:rsidR="007D2C46" w:rsidRPr="003D1968">
              <w:rPr>
                <w:rStyle w:val="Lienhypertexte"/>
                <w:noProof/>
              </w:rPr>
              <w:t>1.</w:t>
            </w:r>
            <w:r w:rsidR="007D2C46">
              <w:rPr>
                <w:rFonts w:asciiTheme="minorHAnsi" w:eastAsiaTheme="minorEastAsia" w:hAnsiTheme="minorHAnsi"/>
                <w:noProof/>
                <w:lang w:eastAsia="fr-FR"/>
              </w:rPr>
              <w:tab/>
            </w:r>
            <w:r w:rsidR="007D2C46" w:rsidRPr="003D1968">
              <w:rPr>
                <w:rStyle w:val="Lienhypertexte"/>
                <w:noProof/>
              </w:rPr>
              <w:t>Les recettes d’investissement</w:t>
            </w:r>
            <w:r w:rsidR="007D2C46">
              <w:rPr>
                <w:noProof/>
                <w:webHidden/>
              </w:rPr>
              <w:tab/>
            </w:r>
            <w:r w:rsidR="007D2C46">
              <w:rPr>
                <w:noProof/>
                <w:webHidden/>
              </w:rPr>
              <w:fldChar w:fldCharType="begin"/>
            </w:r>
            <w:r w:rsidR="007D2C46">
              <w:rPr>
                <w:noProof/>
                <w:webHidden/>
              </w:rPr>
              <w:instrText xml:space="preserve"> PAGEREF _Toc509490453 \h </w:instrText>
            </w:r>
            <w:r w:rsidR="007D2C46">
              <w:rPr>
                <w:noProof/>
                <w:webHidden/>
              </w:rPr>
            </w:r>
            <w:r w:rsidR="007D2C46">
              <w:rPr>
                <w:noProof/>
                <w:webHidden/>
              </w:rPr>
              <w:fldChar w:fldCharType="separate"/>
            </w:r>
            <w:r w:rsidR="007D2C46">
              <w:rPr>
                <w:noProof/>
                <w:webHidden/>
              </w:rPr>
              <w:t>29</w:t>
            </w:r>
            <w:r w:rsidR="007D2C46">
              <w:rPr>
                <w:noProof/>
                <w:webHidden/>
              </w:rPr>
              <w:fldChar w:fldCharType="end"/>
            </w:r>
          </w:hyperlink>
        </w:p>
        <w:p w:rsidR="007D2C46" w:rsidRDefault="00346491">
          <w:pPr>
            <w:pStyle w:val="TM3"/>
            <w:tabs>
              <w:tab w:val="left" w:pos="880"/>
              <w:tab w:val="right" w:leader="dot" w:pos="9628"/>
            </w:tabs>
            <w:rPr>
              <w:rFonts w:asciiTheme="minorHAnsi" w:eastAsiaTheme="minorEastAsia" w:hAnsiTheme="minorHAnsi"/>
              <w:noProof/>
              <w:lang w:eastAsia="fr-FR"/>
            </w:rPr>
          </w:pPr>
          <w:hyperlink w:anchor="_Toc509490454" w:history="1">
            <w:r w:rsidR="007D2C46" w:rsidRPr="003D1968">
              <w:rPr>
                <w:rStyle w:val="Lienhypertexte"/>
                <w:noProof/>
              </w:rPr>
              <w:t>2.</w:t>
            </w:r>
            <w:r w:rsidR="007D2C46">
              <w:rPr>
                <w:rFonts w:asciiTheme="minorHAnsi" w:eastAsiaTheme="minorEastAsia" w:hAnsiTheme="minorHAnsi"/>
                <w:noProof/>
                <w:lang w:eastAsia="fr-FR"/>
              </w:rPr>
              <w:tab/>
            </w:r>
            <w:r w:rsidR="007D2C46" w:rsidRPr="003D1968">
              <w:rPr>
                <w:rStyle w:val="Lienhypertexte"/>
                <w:noProof/>
              </w:rPr>
              <w:t>Les dépenses d’investissement</w:t>
            </w:r>
            <w:r w:rsidR="007D2C46">
              <w:rPr>
                <w:noProof/>
                <w:webHidden/>
              </w:rPr>
              <w:tab/>
            </w:r>
            <w:r w:rsidR="007D2C46">
              <w:rPr>
                <w:noProof/>
                <w:webHidden/>
              </w:rPr>
              <w:fldChar w:fldCharType="begin"/>
            </w:r>
            <w:r w:rsidR="007D2C46">
              <w:rPr>
                <w:noProof/>
                <w:webHidden/>
              </w:rPr>
              <w:instrText xml:space="preserve"> PAGEREF _Toc509490454 \h </w:instrText>
            </w:r>
            <w:r w:rsidR="007D2C46">
              <w:rPr>
                <w:noProof/>
                <w:webHidden/>
              </w:rPr>
            </w:r>
            <w:r w:rsidR="007D2C46">
              <w:rPr>
                <w:noProof/>
                <w:webHidden/>
              </w:rPr>
              <w:fldChar w:fldCharType="separate"/>
            </w:r>
            <w:r w:rsidR="007D2C46">
              <w:rPr>
                <w:noProof/>
                <w:webHidden/>
              </w:rPr>
              <w:t>29</w:t>
            </w:r>
            <w:r w:rsidR="007D2C46">
              <w:rPr>
                <w:noProof/>
                <w:webHidden/>
              </w:rPr>
              <w:fldChar w:fldCharType="end"/>
            </w:r>
          </w:hyperlink>
        </w:p>
        <w:p w:rsidR="007D2C46" w:rsidRDefault="00346491">
          <w:pPr>
            <w:pStyle w:val="TM1"/>
            <w:rPr>
              <w:rFonts w:asciiTheme="minorHAnsi" w:eastAsiaTheme="minorEastAsia" w:hAnsiTheme="minorHAnsi" w:cstheme="minorBidi"/>
              <w:b w:val="0"/>
              <w:color w:val="auto"/>
              <w:lang w:eastAsia="fr-FR"/>
            </w:rPr>
          </w:pPr>
          <w:hyperlink w:anchor="_Toc509490455" w:history="1">
            <w:r w:rsidR="007D2C46" w:rsidRPr="003D1968">
              <w:rPr>
                <w:rStyle w:val="Lienhypertexte"/>
              </w:rPr>
              <w:t>IV.</w:t>
            </w:r>
            <w:r w:rsidR="007D2C46">
              <w:rPr>
                <w:rFonts w:asciiTheme="minorHAnsi" w:eastAsiaTheme="minorEastAsia" w:hAnsiTheme="minorHAnsi" w:cstheme="minorBidi"/>
                <w:b w:val="0"/>
                <w:color w:val="auto"/>
                <w:lang w:eastAsia="fr-FR"/>
              </w:rPr>
              <w:tab/>
            </w:r>
            <w:r w:rsidR="007D2C46" w:rsidRPr="003D1968">
              <w:rPr>
                <w:rStyle w:val="Lienhypertexte"/>
              </w:rPr>
              <w:t>DETTE ET GESTION DE TRESORERIE</w:t>
            </w:r>
            <w:r w:rsidR="007D2C46">
              <w:rPr>
                <w:webHidden/>
              </w:rPr>
              <w:tab/>
            </w:r>
            <w:r w:rsidR="007D2C46">
              <w:rPr>
                <w:webHidden/>
              </w:rPr>
              <w:fldChar w:fldCharType="begin"/>
            </w:r>
            <w:r w:rsidR="007D2C46">
              <w:rPr>
                <w:webHidden/>
              </w:rPr>
              <w:instrText xml:space="preserve"> PAGEREF _Toc509490455 \h </w:instrText>
            </w:r>
            <w:r w:rsidR="007D2C46">
              <w:rPr>
                <w:webHidden/>
              </w:rPr>
            </w:r>
            <w:r w:rsidR="007D2C46">
              <w:rPr>
                <w:webHidden/>
              </w:rPr>
              <w:fldChar w:fldCharType="separate"/>
            </w:r>
            <w:r w:rsidR="007D2C46">
              <w:rPr>
                <w:webHidden/>
              </w:rPr>
              <w:t>31</w:t>
            </w:r>
            <w:r w:rsidR="007D2C46">
              <w:rPr>
                <w:webHidden/>
              </w:rPr>
              <w:fldChar w:fldCharType="end"/>
            </w:r>
          </w:hyperlink>
        </w:p>
        <w:p w:rsidR="007D2C46" w:rsidRDefault="00346491">
          <w:pPr>
            <w:pStyle w:val="TM2"/>
            <w:rPr>
              <w:rFonts w:asciiTheme="minorHAnsi" w:eastAsiaTheme="minorEastAsia" w:hAnsiTheme="minorHAnsi" w:cstheme="minorBidi"/>
              <w:b w:val="0"/>
              <w:lang w:eastAsia="fr-FR"/>
            </w:rPr>
          </w:pPr>
          <w:hyperlink w:anchor="_Toc509490456" w:history="1">
            <w:r w:rsidR="007D2C46" w:rsidRPr="003D1968">
              <w:rPr>
                <w:rStyle w:val="Lienhypertexte"/>
              </w:rPr>
              <w:t>A.</w:t>
            </w:r>
            <w:r w:rsidR="007D2C46">
              <w:rPr>
                <w:rFonts w:asciiTheme="minorHAnsi" w:eastAsiaTheme="minorEastAsia" w:hAnsiTheme="minorHAnsi" w:cstheme="minorBidi"/>
                <w:b w:val="0"/>
                <w:lang w:eastAsia="fr-FR"/>
              </w:rPr>
              <w:tab/>
            </w:r>
            <w:r w:rsidR="007D2C46" w:rsidRPr="003D1968">
              <w:rPr>
                <w:rStyle w:val="Lienhypertexte"/>
              </w:rPr>
              <w:t>La dette propre</w:t>
            </w:r>
            <w:r w:rsidR="007D2C46">
              <w:rPr>
                <w:webHidden/>
              </w:rPr>
              <w:tab/>
            </w:r>
            <w:r w:rsidR="007D2C46">
              <w:rPr>
                <w:webHidden/>
              </w:rPr>
              <w:fldChar w:fldCharType="begin"/>
            </w:r>
            <w:r w:rsidR="007D2C46">
              <w:rPr>
                <w:webHidden/>
              </w:rPr>
              <w:instrText xml:space="preserve"> PAGEREF _Toc509490456 \h </w:instrText>
            </w:r>
            <w:r w:rsidR="007D2C46">
              <w:rPr>
                <w:webHidden/>
              </w:rPr>
            </w:r>
            <w:r w:rsidR="007D2C46">
              <w:rPr>
                <w:webHidden/>
              </w:rPr>
              <w:fldChar w:fldCharType="separate"/>
            </w:r>
            <w:r w:rsidR="007D2C46">
              <w:rPr>
                <w:webHidden/>
              </w:rPr>
              <w:t>31</w:t>
            </w:r>
            <w:r w:rsidR="007D2C46">
              <w:rPr>
                <w:webHidden/>
              </w:rPr>
              <w:fldChar w:fldCharType="end"/>
            </w:r>
          </w:hyperlink>
        </w:p>
        <w:p w:rsidR="007D2C46" w:rsidRDefault="00346491">
          <w:pPr>
            <w:pStyle w:val="TM3"/>
            <w:tabs>
              <w:tab w:val="left" w:pos="880"/>
              <w:tab w:val="right" w:leader="dot" w:pos="9628"/>
            </w:tabs>
            <w:rPr>
              <w:rFonts w:asciiTheme="minorHAnsi" w:eastAsiaTheme="minorEastAsia" w:hAnsiTheme="minorHAnsi"/>
              <w:noProof/>
              <w:lang w:eastAsia="fr-FR"/>
            </w:rPr>
          </w:pPr>
          <w:hyperlink w:anchor="_Toc509490457" w:history="1">
            <w:r w:rsidR="007D2C46" w:rsidRPr="003D1968">
              <w:rPr>
                <w:rStyle w:val="Lienhypertexte"/>
                <w:noProof/>
              </w:rPr>
              <w:t>1.</w:t>
            </w:r>
            <w:r w:rsidR="007D2C46">
              <w:rPr>
                <w:rFonts w:asciiTheme="minorHAnsi" w:eastAsiaTheme="minorEastAsia" w:hAnsiTheme="minorHAnsi"/>
                <w:noProof/>
                <w:lang w:eastAsia="fr-FR"/>
              </w:rPr>
              <w:tab/>
            </w:r>
            <w:r w:rsidR="007D2C46" w:rsidRPr="003D1968">
              <w:rPr>
                <w:rStyle w:val="Lienhypertexte"/>
                <w:noProof/>
              </w:rPr>
              <w:t>La composition de l’encours de dette (risque, nature, prêteurs)</w:t>
            </w:r>
            <w:r w:rsidR="007D2C46">
              <w:rPr>
                <w:noProof/>
                <w:webHidden/>
              </w:rPr>
              <w:tab/>
            </w:r>
            <w:r w:rsidR="007D2C46">
              <w:rPr>
                <w:noProof/>
                <w:webHidden/>
              </w:rPr>
              <w:fldChar w:fldCharType="begin"/>
            </w:r>
            <w:r w:rsidR="007D2C46">
              <w:rPr>
                <w:noProof/>
                <w:webHidden/>
              </w:rPr>
              <w:instrText xml:space="preserve"> PAGEREF _Toc509490457 \h </w:instrText>
            </w:r>
            <w:r w:rsidR="007D2C46">
              <w:rPr>
                <w:noProof/>
                <w:webHidden/>
              </w:rPr>
            </w:r>
            <w:r w:rsidR="007D2C46">
              <w:rPr>
                <w:noProof/>
                <w:webHidden/>
              </w:rPr>
              <w:fldChar w:fldCharType="separate"/>
            </w:r>
            <w:r w:rsidR="007D2C46">
              <w:rPr>
                <w:noProof/>
                <w:webHidden/>
              </w:rPr>
              <w:t>32</w:t>
            </w:r>
            <w:r w:rsidR="007D2C46">
              <w:rPr>
                <w:noProof/>
                <w:webHidden/>
              </w:rPr>
              <w:fldChar w:fldCharType="end"/>
            </w:r>
          </w:hyperlink>
        </w:p>
        <w:p w:rsidR="007D2C46" w:rsidRDefault="00346491">
          <w:pPr>
            <w:pStyle w:val="TM3"/>
            <w:tabs>
              <w:tab w:val="left" w:pos="880"/>
              <w:tab w:val="right" w:leader="dot" w:pos="9628"/>
            </w:tabs>
            <w:rPr>
              <w:rFonts w:asciiTheme="minorHAnsi" w:eastAsiaTheme="minorEastAsia" w:hAnsiTheme="minorHAnsi"/>
              <w:noProof/>
              <w:lang w:eastAsia="fr-FR"/>
            </w:rPr>
          </w:pPr>
          <w:hyperlink w:anchor="_Toc509490458" w:history="1">
            <w:r w:rsidR="007D2C46" w:rsidRPr="003D1968">
              <w:rPr>
                <w:rStyle w:val="Lienhypertexte"/>
                <w:noProof/>
              </w:rPr>
              <w:t>2.</w:t>
            </w:r>
            <w:r w:rsidR="007D2C46">
              <w:rPr>
                <w:rFonts w:asciiTheme="minorHAnsi" w:eastAsiaTheme="minorEastAsia" w:hAnsiTheme="minorHAnsi"/>
                <w:noProof/>
                <w:lang w:eastAsia="fr-FR"/>
              </w:rPr>
              <w:tab/>
            </w:r>
            <w:r w:rsidR="007D2C46" w:rsidRPr="003D1968">
              <w:rPr>
                <w:rStyle w:val="Lienhypertexte"/>
                <w:noProof/>
              </w:rPr>
              <w:t>Le profil d’extinction de la dette</w:t>
            </w:r>
            <w:r w:rsidR="007D2C46">
              <w:rPr>
                <w:noProof/>
                <w:webHidden/>
              </w:rPr>
              <w:tab/>
            </w:r>
            <w:r w:rsidR="007D2C46">
              <w:rPr>
                <w:noProof/>
                <w:webHidden/>
              </w:rPr>
              <w:fldChar w:fldCharType="begin"/>
            </w:r>
            <w:r w:rsidR="007D2C46">
              <w:rPr>
                <w:noProof/>
                <w:webHidden/>
              </w:rPr>
              <w:instrText xml:space="preserve"> PAGEREF _Toc509490458 \h </w:instrText>
            </w:r>
            <w:r w:rsidR="007D2C46">
              <w:rPr>
                <w:noProof/>
                <w:webHidden/>
              </w:rPr>
            </w:r>
            <w:r w:rsidR="007D2C46">
              <w:rPr>
                <w:noProof/>
                <w:webHidden/>
              </w:rPr>
              <w:fldChar w:fldCharType="separate"/>
            </w:r>
            <w:r w:rsidR="007D2C46">
              <w:rPr>
                <w:noProof/>
                <w:webHidden/>
              </w:rPr>
              <w:t>33</w:t>
            </w:r>
            <w:r w:rsidR="007D2C46">
              <w:rPr>
                <w:noProof/>
                <w:webHidden/>
              </w:rPr>
              <w:fldChar w:fldCharType="end"/>
            </w:r>
          </w:hyperlink>
        </w:p>
        <w:p w:rsidR="007D2C46" w:rsidRDefault="00346491">
          <w:pPr>
            <w:pStyle w:val="TM2"/>
            <w:rPr>
              <w:rFonts w:asciiTheme="minorHAnsi" w:eastAsiaTheme="minorEastAsia" w:hAnsiTheme="minorHAnsi" w:cstheme="minorBidi"/>
              <w:b w:val="0"/>
              <w:lang w:eastAsia="fr-FR"/>
            </w:rPr>
          </w:pPr>
          <w:hyperlink w:anchor="_Toc509490459" w:history="1">
            <w:r w:rsidR="007D2C46" w:rsidRPr="003D1968">
              <w:rPr>
                <w:rStyle w:val="Lienhypertexte"/>
              </w:rPr>
              <w:t>B.</w:t>
            </w:r>
            <w:r w:rsidR="007D2C46">
              <w:rPr>
                <w:rFonts w:asciiTheme="minorHAnsi" w:eastAsiaTheme="minorEastAsia" w:hAnsiTheme="minorHAnsi" w:cstheme="minorBidi"/>
                <w:b w:val="0"/>
                <w:lang w:eastAsia="fr-FR"/>
              </w:rPr>
              <w:tab/>
            </w:r>
            <w:r w:rsidR="007D2C46" w:rsidRPr="003D1968">
              <w:rPr>
                <w:rStyle w:val="Lienhypertexte"/>
              </w:rPr>
              <w:t>La gestion de trésorerie</w:t>
            </w:r>
            <w:r w:rsidR="007D2C46">
              <w:rPr>
                <w:webHidden/>
              </w:rPr>
              <w:tab/>
            </w:r>
            <w:r w:rsidR="007D2C46">
              <w:rPr>
                <w:webHidden/>
              </w:rPr>
              <w:fldChar w:fldCharType="begin"/>
            </w:r>
            <w:r w:rsidR="007D2C46">
              <w:rPr>
                <w:webHidden/>
              </w:rPr>
              <w:instrText xml:space="preserve"> PAGEREF _Toc509490459 \h </w:instrText>
            </w:r>
            <w:r w:rsidR="007D2C46">
              <w:rPr>
                <w:webHidden/>
              </w:rPr>
            </w:r>
            <w:r w:rsidR="007D2C46">
              <w:rPr>
                <w:webHidden/>
              </w:rPr>
              <w:fldChar w:fldCharType="separate"/>
            </w:r>
            <w:r w:rsidR="007D2C46">
              <w:rPr>
                <w:webHidden/>
              </w:rPr>
              <w:t>33</w:t>
            </w:r>
            <w:r w:rsidR="007D2C46">
              <w:rPr>
                <w:webHidden/>
              </w:rPr>
              <w:fldChar w:fldCharType="end"/>
            </w:r>
          </w:hyperlink>
        </w:p>
        <w:p w:rsidR="003521B0" w:rsidRDefault="00D57224" w:rsidP="007541CB">
          <w:r w:rsidRPr="00D57224">
            <w:fldChar w:fldCharType="end"/>
          </w:r>
          <w:r w:rsidR="003521B0">
            <w:br w:type="page"/>
          </w:r>
        </w:p>
        <w:p w:rsidR="00D57224" w:rsidRDefault="00346491"/>
      </w:sdtContent>
    </w:sdt>
    <w:p w:rsidR="00CA5E3C" w:rsidRDefault="00FD144F" w:rsidP="006B1112">
      <w:pPr>
        <w:pStyle w:val="Titre1"/>
        <w:jc w:val="center"/>
        <w:rPr>
          <w:u w:val="single"/>
        </w:rPr>
      </w:pPr>
      <w:bookmarkStart w:id="1" w:name="_Toc410740488"/>
      <w:r>
        <w:rPr>
          <w:u w:val="single"/>
        </w:rPr>
        <w:br w:type="page"/>
      </w:r>
      <w:bookmarkStart w:id="2" w:name="_Toc442390180"/>
      <w:bookmarkEnd w:id="0"/>
      <w:bookmarkEnd w:id="1"/>
    </w:p>
    <w:p w:rsidR="007D2C46" w:rsidRPr="007D2C46" w:rsidRDefault="00C32D91" w:rsidP="007D2C46">
      <w:pPr>
        <w:pStyle w:val="Titre1"/>
        <w:rPr>
          <w:rFonts w:cs="Tahoma"/>
        </w:rPr>
      </w:pPr>
      <w:bookmarkStart w:id="3" w:name="_Toc509490424"/>
      <w:r w:rsidRPr="004D406F">
        <w:rPr>
          <w:rFonts w:cs="Tahoma"/>
        </w:rPr>
        <w:lastRenderedPageBreak/>
        <w:t>I.</w:t>
      </w:r>
      <w:r w:rsidRPr="004D406F">
        <w:rPr>
          <w:rFonts w:cs="Tahoma"/>
        </w:rPr>
        <w:tab/>
      </w:r>
      <w:bookmarkStart w:id="4" w:name="_Toc509490432"/>
      <w:bookmarkEnd w:id="2"/>
      <w:bookmarkEnd w:id="3"/>
      <w:r w:rsidR="007D2C46" w:rsidRPr="007D2C46">
        <w:rPr>
          <w:rFonts w:cs="Tahoma"/>
        </w:rPr>
        <w:t>PRESENTATION GENERALE DE L’EXERCICE 2017</w:t>
      </w:r>
    </w:p>
    <w:p w:rsidR="007D2C46" w:rsidRPr="007D2C46" w:rsidRDefault="007D2C46" w:rsidP="007D2C46">
      <w:pPr>
        <w:tabs>
          <w:tab w:val="left" w:pos="426"/>
        </w:tabs>
        <w:rPr>
          <w:rFonts w:cs="Tahoma"/>
          <w:b/>
        </w:rPr>
      </w:pPr>
    </w:p>
    <w:p w:rsidR="007D2C46" w:rsidRPr="007D2C46" w:rsidRDefault="007D2C46" w:rsidP="007D2C46">
      <w:pPr>
        <w:keepNext/>
        <w:keepLines/>
        <w:numPr>
          <w:ilvl w:val="0"/>
          <w:numId w:val="5"/>
        </w:numPr>
        <w:spacing w:before="200"/>
        <w:outlineLvl w:val="1"/>
        <w:rPr>
          <w:rFonts w:eastAsiaTheme="majorEastAsia" w:cstheme="majorBidi"/>
          <w:b/>
          <w:bCs/>
          <w:color w:val="000000" w:themeColor="text1"/>
          <w:sz w:val="28"/>
          <w:szCs w:val="26"/>
        </w:rPr>
      </w:pPr>
      <w:bookmarkStart w:id="5" w:name="_Toc446084173"/>
      <w:bookmarkStart w:id="6" w:name="_Toc446084368"/>
      <w:bookmarkStart w:id="7" w:name="_Toc446084419"/>
      <w:bookmarkStart w:id="8" w:name="_Toc446403432"/>
      <w:bookmarkStart w:id="9" w:name="_Toc447272225"/>
      <w:bookmarkStart w:id="10" w:name="_Toc442390181"/>
      <w:bookmarkStart w:id="11" w:name="_Toc509415415"/>
      <w:bookmarkEnd w:id="5"/>
      <w:bookmarkEnd w:id="6"/>
      <w:bookmarkEnd w:id="7"/>
      <w:bookmarkEnd w:id="8"/>
      <w:bookmarkEnd w:id="9"/>
      <w:r w:rsidRPr="007D2C46">
        <w:rPr>
          <w:rFonts w:eastAsiaTheme="majorEastAsia" w:cstheme="majorBidi"/>
          <w:b/>
          <w:bCs/>
          <w:color w:val="000000" w:themeColor="text1"/>
          <w:sz w:val="28"/>
          <w:szCs w:val="26"/>
        </w:rPr>
        <w:t>Les grands équilibres budgétaires</w:t>
      </w:r>
      <w:bookmarkEnd w:id="10"/>
      <w:bookmarkEnd w:id="11"/>
    </w:p>
    <w:p w:rsidR="007D2C46" w:rsidRPr="007D2C46" w:rsidRDefault="007D2C46" w:rsidP="007D2C46"/>
    <w:p w:rsidR="007D2C46" w:rsidRPr="007D2C46" w:rsidRDefault="007D2C46" w:rsidP="007D2C46">
      <w:pPr>
        <w:keepNext/>
        <w:keepLines/>
        <w:numPr>
          <w:ilvl w:val="0"/>
          <w:numId w:val="6"/>
        </w:numPr>
        <w:spacing w:before="200"/>
        <w:outlineLvl w:val="2"/>
        <w:rPr>
          <w:rFonts w:eastAsiaTheme="majorEastAsia" w:cstheme="majorBidi"/>
          <w:bCs/>
          <w:color w:val="000000" w:themeColor="text1"/>
          <w:sz w:val="24"/>
          <w:u w:val="single"/>
        </w:rPr>
      </w:pPr>
      <w:bookmarkStart w:id="12" w:name="_Toc442390182"/>
      <w:bookmarkStart w:id="13" w:name="_Toc509415416"/>
      <w:r w:rsidRPr="007D2C46">
        <w:rPr>
          <w:rFonts w:eastAsiaTheme="majorEastAsia" w:cstheme="majorBidi"/>
          <w:bCs/>
          <w:color w:val="000000" w:themeColor="text1"/>
          <w:sz w:val="24"/>
          <w:u w:val="single"/>
        </w:rPr>
        <w:t xml:space="preserve">Le </w:t>
      </w:r>
      <w:bookmarkEnd w:id="12"/>
      <w:r w:rsidRPr="007D2C46">
        <w:rPr>
          <w:rFonts w:eastAsiaTheme="majorEastAsia" w:cstheme="majorBidi"/>
          <w:bCs/>
          <w:color w:val="000000" w:themeColor="text1"/>
          <w:sz w:val="24"/>
          <w:u w:val="single"/>
        </w:rPr>
        <w:t>budget principal</w:t>
      </w:r>
      <w:bookmarkEnd w:id="13"/>
    </w:p>
    <w:p w:rsidR="007D2C46" w:rsidRPr="007D2C46" w:rsidRDefault="007D2C46" w:rsidP="007D2C46">
      <w:pPr>
        <w:rPr>
          <w:rFonts w:cs="Tahoma"/>
        </w:rPr>
      </w:pPr>
    </w:p>
    <w:p w:rsidR="007D2C46" w:rsidRPr="007D2C46" w:rsidRDefault="007D2C46" w:rsidP="007D2C46">
      <w:pPr>
        <w:rPr>
          <w:rFonts w:cs="Tahoma"/>
        </w:rPr>
      </w:pPr>
      <w:r w:rsidRPr="007D2C46">
        <w:rPr>
          <w:rFonts w:cs="Tahoma"/>
        </w:rPr>
        <w:t>Au terme de l’exercice 2017, l’exécution budgétaire sur le budget principal permet de dégager les équilibres suivants :</w:t>
      </w:r>
    </w:p>
    <w:p w:rsidR="007D2C46" w:rsidRPr="007D2C46" w:rsidRDefault="007D2C46" w:rsidP="007D2C46">
      <w:pPr>
        <w:rPr>
          <w:rFonts w:cs="Tahoma"/>
        </w:rPr>
      </w:pPr>
    </w:p>
    <w:p w:rsidR="007D2C46" w:rsidRPr="007D2C46" w:rsidRDefault="007D2C46" w:rsidP="007D2C46">
      <w:pPr>
        <w:numPr>
          <w:ilvl w:val="0"/>
          <w:numId w:val="31"/>
        </w:numPr>
        <w:contextualSpacing/>
        <w:rPr>
          <w:rFonts w:cs="Tahoma"/>
        </w:rPr>
      </w:pPr>
      <w:r w:rsidRPr="007D2C46">
        <w:rPr>
          <w:rFonts w:cs="Tahoma"/>
          <w:b/>
        </w:rPr>
        <w:t>Section de fonctionnement : excédent de fonctionnement 2017 de 30,6 M€</w:t>
      </w:r>
    </w:p>
    <w:p w:rsidR="007D2C46" w:rsidRPr="007D2C46" w:rsidRDefault="007D2C46" w:rsidP="007D2C46">
      <w:pPr>
        <w:rPr>
          <w:rFonts w:cs="Tahoma"/>
        </w:rPr>
      </w:pPr>
    </w:p>
    <w:p w:rsidR="007D2C46" w:rsidRPr="007D2C46" w:rsidRDefault="007D2C46" w:rsidP="007D2C46">
      <w:pPr>
        <w:rPr>
          <w:rFonts w:cs="Tahoma"/>
        </w:rPr>
      </w:pPr>
      <w:r w:rsidRPr="007D2C46">
        <w:rPr>
          <w:rFonts w:cs="Tahoma"/>
        </w:rPr>
        <w:t>Le montant des recettes de fonctionnement atteint 265,0 M€ (dont 264,6 M€ de recettes réelles de fonctionnement) et celui des dépenses 250,9 M€ (dont 245,6 M€ de dépenses réelles).</w:t>
      </w:r>
    </w:p>
    <w:p w:rsidR="007D2C46" w:rsidRPr="007D2C46" w:rsidRDefault="007D2C46" w:rsidP="007D2C46">
      <w:pPr>
        <w:rPr>
          <w:rFonts w:cs="Tahoma"/>
        </w:rPr>
      </w:pPr>
    </w:p>
    <w:p w:rsidR="007D2C46" w:rsidRPr="007D2C46" w:rsidRDefault="007D2C46" w:rsidP="007D2C46">
      <w:pPr>
        <w:rPr>
          <w:rFonts w:cs="Tahoma"/>
        </w:rPr>
      </w:pPr>
      <w:r w:rsidRPr="007D2C46">
        <w:rPr>
          <w:rFonts w:cs="Tahoma"/>
        </w:rPr>
        <w:t>Sur les opérations de l’exercice, la section de fonctionnement présente donc un résultat positif de 14,0 M€. En intégrant l’excédent de fonctionnement reporté de 2016 (16,5 M€), l’excédent de fonctionnement s’élève donc à 30,6 M€ soit un résultat en hausse par rapport à l’exercice précédent (21,7 M€ au compte administratif 2016).</w:t>
      </w:r>
    </w:p>
    <w:p w:rsidR="007D2C46" w:rsidRPr="007D2C46" w:rsidRDefault="007D2C46" w:rsidP="007D2C46">
      <w:pPr>
        <w:rPr>
          <w:rFonts w:cs="Tahoma"/>
        </w:rPr>
      </w:pPr>
    </w:p>
    <w:p w:rsidR="007D2C46" w:rsidRPr="007D2C46" w:rsidRDefault="007D2C46" w:rsidP="007D2C46">
      <w:pPr>
        <w:numPr>
          <w:ilvl w:val="0"/>
          <w:numId w:val="31"/>
        </w:numPr>
        <w:contextualSpacing/>
        <w:rPr>
          <w:rFonts w:cs="Tahoma"/>
          <w:b/>
        </w:rPr>
      </w:pPr>
      <w:r w:rsidRPr="007D2C46">
        <w:rPr>
          <w:rFonts w:cs="Tahoma"/>
          <w:b/>
        </w:rPr>
        <w:t>Section d’investissement : déficit global d’investissement 2017 de - 5,7 M€</w:t>
      </w:r>
    </w:p>
    <w:p w:rsidR="007D2C46" w:rsidRPr="007D2C46" w:rsidRDefault="007D2C46" w:rsidP="007D2C46">
      <w:pPr>
        <w:rPr>
          <w:rFonts w:cs="Tahoma"/>
        </w:rPr>
      </w:pPr>
    </w:p>
    <w:p w:rsidR="007D2C46" w:rsidRPr="007D2C46" w:rsidRDefault="007D2C46" w:rsidP="007D2C46">
      <w:pPr>
        <w:rPr>
          <w:rFonts w:cs="Tahoma"/>
        </w:rPr>
      </w:pPr>
      <w:r w:rsidRPr="007D2C46">
        <w:rPr>
          <w:rFonts w:cs="Tahoma"/>
        </w:rPr>
        <w:t xml:space="preserve">En 2017, le montant total des recettes d’investissement atteint 34,6 M€ (avec 25,0 M€ de recettes réelles dont 7,8 M€ d’emprunt et 5,2 M€ d’excédent de fonctionnement capitalisé). Les dépenses d’investissement se sont élevées quant à elles à 32,4 M€ (dont 27,8 M€ de dépenses réelles). Sur les opérations 2017, la section d’investissement présente donc un solde excédentaire de 2,2 M€. </w:t>
      </w:r>
    </w:p>
    <w:p w:rsidR="007D2C46" w:rsidRPr="007D2C46" w:rsidRDefault="007D2C46" w:rsidP="007D2C46">
      <w:pPr>
        <w:rPr>
          <w:rFonts w:cs="Tahoma"/>
        </w:rPr>
      </w:pPr>
    </w:p>
    <w:p w:rsidR="007D2C46" w:rsidRPr="007D2C46" w:rsidRDefault="007D2C46" w:rsidP="007D2C46">
      <w:pPr>
        <w:rPr>
          <w:rFonts w:cs="Tahoma"/>
        </w:rPr>
      </w:pPr>
      <w:r w:rsidRPr="007D2C46">
        <w:rPr>
          <w:rFonts w:cs="Tahoma"/>
        </w:rPr>
        <w:t>En intégrant le déficit d’investissement reporté de 2016 (-7,9 M€), le solde d’exécution de la section d’investissement 2017 est donc déficitaire et s’élève à -5,7 M€.</w:t>
      </w:r>
    </w:p>
    <w:p w:rsidR="007D2C46" w:rsidRPr="007D2C46" w:rsidRDefault="007D2C46" w:rsidP="007D2C46">
      <w:pPr>
        <w:rPr>
          <w:rFonts w:cs="Tahoma"/>
        </w:rPr>
      </w:pPr>
    </w:p>
    <w:p w:rsidR="007D2C46" w:rsidRPr="007D2C46" w:rsidRDefault="007D2C46" w:rsidP="007D2C46">
      <w:pPr>
        <w:rPr>
          <w:rFonts w:cs="Tahoma"/>
        </w:rPr>
      </w:pPr>
      <w:r w:rsidRPr="007D2C46">
        <w:rPr>
          <w:rFonts w:cs="Tahoma"/>
        </w:rPr>
        <w:t>Le solde déficitaire des restes à réaliser (RAR) 2017 (-3,0 M€) accentue le besoin de financement, qui s’élève à 8,6 M€.</w:t>
      </w:r>
    </w:p>
    <w:p w:rsidR="007D2C46" w:rsidRPr="007D2C46" w:rsidRDefault="007D2C46" w:rsidP="007D2C46">
      <w:pPr>
        <w:rPr>
          <w:rFonts w:cs="Tahoma"/>
        </w:rPr>
      </w:pPr>
    </w:p>
    <w:p w:rsidR="007D2C46" w:rsidRPr="007D2C46" w:rsidRDefault="007D2C46" w:rsidP="007D2C46">
      <w:pPr>
        <w:numPr>
          <w:ilvl w:val="0"/>
          <w:numId w:val="31"/>
        </w:numPr>
        <w:contextualSpacing/>
        <w:rPr>
          <w:rFonts w:cs="Tahoma"/>
          <w:b/>
        </w:rPr>
      </w:pPr>
      <w:r w:rsidRPr="007D2C46">
        <w:rPr>
          <w:rFonts w:cs="Tahoma"/>
          <w:b/>
        </w:rPr>
        <w:t xml:space="preserve">Synthèse </w:t>
      </w:r>
    </w:p>
    <w:p w:rsidR="007D2C46" w:rsidRPr="007D2C46" w:rsidRDefault="007D2C46" w:rsidP="007D2C46">
      <w:pPr>
        <w:rPr>
          <w:rFonts w:cs="Tahoma"/>
        </w:rPr>
      </w:pPr>
    </w:p>
    <w:p w:rsidR="007D2C46" w:rsidRPr="007D2C46" w:rsidRDefault="007D2C46" w:rsidP="007D2C46">
      <w:pPr>
        <w:rPr>
          <w:rFonts w:cs="Tahoma"/>
        </w:rPr>
      </w:pPr>
      <w:r w:rsidRPr="007D2C46">
        <w:rPr>
          <w:rFonts w:cs="Tahoma"/>
        </w:rPr>
        <w:t>Les opérations de 2017 tant en investissement qu’en fonctionnement ont dégagé un résultat excédentaire de 16,2 M€ (dont 7,8 M€ d’emprunt). En intégrant le solde des RAR (-3,0 M€), le solde de l’exercice s’élève à 13,2 M€. Les résultats antérieurs (hors excédent de fonctionnement capitalisé) permettent au solde global des deux sections d’atteindre 21,9 M€.</w:t>
      </w:r>
    </w:p>
    <w:p w:rsidR="007D2C46" w:rsidRPr="007D2C46" w:rsidRDefault="007D2C46" w:rsidP="007D2C46">
      <w:pPr>
        <w:jc w:val="center"/>
        <w:rPr>
          <w:rFonts w:cs="Tahoma"/>
        </w:rPr>
        <w:sectPr w:rsidR="007D2C46" w:rsidRPr="007D2C46" w:rsidSect="00E31730">
          <w:footerReference w:type="even" r:id="rId10"/>
          <w:footerReference w:type="default" r:id="rId11"/>
          <w:pgSz w:w="11906" w:h="16838"/>
          <w:pgMar w:top="1418" w:right="1134" w:bottom="1134" w:left="1134" w:header="720" w:footer="1134" w:gutter="0"/>
          <w:cols w:space="720"/>
          <w:titlePg/>
          <w:docGrid w:linePitch="360"/>
        </w:sectPr>
      </w:pPr>
      <w:r w:rsidRPr="007D2C46">
        <w:rPr>
          <w:rFonts w:cs="Tahoma"/>
        </w:rPr>
        <w:br w:type="page"/>
      </w:r>
      <w:r w:rsidRPr="007D2C46">
        <w:rPr>
          <w:rFonts w:cs="Tahoma"/>
          <w:noProof/>
          <w:lang w:eastAsia="fr-FR"/>
        </w:rPr>
        <w:lastRenderedPageBreak/>
        <w:drawing>
          <wp:inline distT="0" distB="0" distL="0" distR="0" wp14:anchorId="305AF4FC" wp14:editId="2C754210">
            <wp:extent cx="5168554" cy="8754387"/>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7380" cy="8752399"/>
                    </a:xfrm>
                    <a:prstGeom prst="rect">
                      <a:avLst/>
                    </a:prstGeom>
                    <a:noFill/>
                    <a:ln>
                      <a:noFill/>
                    </a:ln>
                  </pic:spPr>
                </pic:pic>
              </a:graphicData>
            </a:graphic>
          </wp:inline>
        </w:drawing>
      </w:r>
    </w:p>
    <w:p w:rsidR="007D2C46" w:rsidRPr="007D2C46" w:rsidRDefault="007D2C46" w:rsidP="007D2C46">
      <w:pPr>
        <w:jc w:val="center"/>
        <w:rPr>
          <w:rFonts w:cs="Tahoma"/>
        </w:rPr>
      </w:pPr>
      <w:r w:rsidRPr="007D2C46">
        <w:rPr>
          <w:rFonts w:cs="Tahoma"/>
          <w:noProof/>
          <w:lang w:eastAsia="fr-FR"/>
        </w:rPr>
        <w:lastRenderedPageBreak/>
        <w:drawing>
          <wp:inline distT="0" distB="0" distL="0" distR="0" wp14:anchorId="29742379" wp14:editId="6781B39E">
            <wp:extent cx="9071610" cy="5180046"/>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71610" cy="5180046"/>
                    </a:xfrm>
                    <a:prstGeom prst="rect">
                      <a:avLst/>
                    </a:prstGeom>
                    <a:noFill/>
                    <a:ln>
                      <a:noFill/>
                    </a:ln>
                  </pic:spPr>
                </pic:pic>
              </a:graphicData>
            </a:graphic>
          </wp:inline>
        </w:drawing>
      </w:r>
    </w:p>
    <w:p w:rsidR="007D2C46" w:rsidRPr="007D2C46" w:rsidRDefault="007D2C46" w:rsidP="007D2C46">
      <w:pPr>
        <w:jc w:val="center"/>
        <w:rPr>
          <w:rFonts w:cs="Tahoma"/>
        </w:rPr>
        <w:sectPr w:rsidR="007D2C46" w:rsidRPr="007D2C46" w:rsidSect="00E31730">
          <w:headerReference w:type="first" r:id="rId14"/>
          <w:footerReference w:type="first" r:id="rId15"/>
          <w:pgSz w:w="16838" w:h="11906" w:orient="landscape"/>
          <w:pgMar w:top="1134" w:right="1418" w:bottom="1134" w:left="1134" w:header="720" w:footer="1134" w:gutter="0"/>
          <w:cols w:space="720"/>
          <w:titlePg/>
          <w:docGrid w:linePitch="360"/>
        </w:sectPr>
      </w:pPr>
    </w:p>
    <w:p w:rsidR="007D2C46" w:rsidRPr="007D2C46" w:rsidRDefault="007D2C46" w:rsidP="007D2C46">
      <w:pPr>
        <w:keepNext/>
        <w:keepLines/>
        <w:numPr>
          <w:ilvl w:val="0"/>
          <w:numId w:val="6"/>
        </w:numPr>
        <w:spacing w:before="200"/>
        <w:outlineLvl w:val="2"/>
        <w:rPr>
          <w:rFonts w:eastAsiaTheme="majorEastAsia" w:cstheme="majorBidi"/>
          <w:bCs/>
          <w:color w:val="000000" w:themeColor="text1"/>
          <w:sz w:val="24"/>
          <w:u w:val="single"/>
        </w:rPr>
      </w:pPr>
      <w:bookmarkStart w:id="14" w:name="_Toc447272228"/>
      <w:bookmarkStart w:id="15" w:name="_Toc509415417"/>
      <w:bookmarkEnd w:id="14"/>
      <w:r w:rsidRPr="007D2C46">
        <w:rPr>
          <w:rFonts w:eastAsiaTheme="majorEastAsia" w:cstheme="majorBidi"/>
          <w:bCs/>
          <w:color w:val="000000" w:themeColor="text1"/>
          <w:sz w:val="24"/>
          <w:u w:val="single"/>
        </w:rPr>
        <w:lastRenderedPageBreak/>
        <w:t>Le budget annexe d’assainissement</w:t>
      </w:r>
      <w:bookmarkEnd w:id="15"/>
    </w:p>
    <w:p w:rsidR="007D2C46" w:rsidRPr="007D2C46" w:rsidRDefault="007D2C46" w:rsidP="007D2C46"/>
    <w:p w:rsidR="007D2C46" w:rsidRPr="007D2C46" w:rsidRDefault="007D2C46" w:rsidP="007D2C46">
      <w:r w:rsidRPr="007D2C46">
        <w:t>Les principaux équilibres du budget annexe assainissement sont les suivants au terme de l’exercice 2017 :</w:t>
      </w:r>
    </w:p>
    <w:p w:rsidR="007D2C46" w:rsidRPr="007D2C46" w:rsidRDefault="007D2C46" w:rsidP="007D2C46"/>
    <w:p w:rsidR="007D2C46" w:rsidRPr="007D2C46" w:rsidRDefault="007D2C46" w:rsidP="007D2C46">
      <w:pPr>
        <w:numPr>
          <w:ilvl w:val="0"/>
          <w:numId w:val="31"/>
        </w:numPr>
        <w:contextualSpacing/>
        <w:rPr>
          <w:rFonts w:cs="Tahoma"/>
          <w:b/>
        </w:rPr>
      </w:pPr>
      <w:r w:rsidRPr="007D2C46">
        <w:rPr>
          <w:rFonts w:cs="Tahoma"/>
          <w:b/>
        </w:rPr>
        <w:t>Section de d’exploitation : excédent de fonctionnement 2017 de 6,7 M€</w:t>
      </w:r>
    </w:p>
    <w:p w:rsidR="007D2C46" w:rsidRPr="007D2C46" w:rsidRDefault="007D2C46" w:rsidP="007D2C46"/>
    <w:p w:rsidR="007D2C46" w:rsidRPr="007D2C46" w:rsidRDefault="007D2C46" w:rsidP="007D2C46">
      <w:r w:rsidRPr="007D2C46">
        <w:t xml:space="preserve">Le montant des recettes de fonctionnement a atteint 11,4 M€ en 2017 (dont 11,3 M€ de recettes réelles d’exploitation) et celui des dépenses 8,3 M€ (dont 6,2 M€ de dépenses réelles d’exploitation). Sur l’exercice, la section d’exploitation présente donc un résultat positif de 3,1 M€. </w:t>
      </w:r>
    </w:p>
    <w:p w:rsidR="007D2C46" w:rsidRPr="007D2C46" w:rsidRDefault="007D2C46" w:rsidP="007D2C46"/>
    <w:p w:rsidR="007D2C46" w:rsidRPr="007D2C46" w:rsidRDefault="007D2C46" w:rsidP="007D2C46">
      <w:r w:rsidRPr="007D2C46">
        <w:t>En intégrant les résultats antérieurs (+3,6 M€), le résultat s’élève à 6,7 M€.</w:t>
      </w:r>
    </w:p>
    <w:p w:rsidR="007D2C46" w:rsidRPr="007D2C46" w:rsidRDefault="007D2C46" w:rsidP="007D2C46"/>
    <w:p w:rsidR="007D2C46" w:rsidRPr="007D2C46" w:rsidRDefault="007D2C46" w:rsidP="007D2C46">
      <w:pPr>
        <w:numPr>
          <w:ilvl w:val="0"/>
          <w:numId w:val="31"/>
        </w:numPr>
        <w:contextualSpacing/>
        <w:rPr>
          <w:rFonts w:cs="Tahoma"/>
          <w:b/>
        </w:rPr>
      </w:pPr>
      <w:r w:rsidRPr="007D2C46">
        <w:rPr>
          <w:rFonts w:cs="Tahoma"/>
          <w:b/>
        </w:rPr>
        <w:t>Section d’investissement : déficit global d’investissement 2017 de -3,09 M€</w:t>
      </w:r>
    </w:p>
    <w:p w:rsidR="007D2C46" w:rsidRPr="007D2C46" w:rsidRDefault="007D2C46" w:rsidP="007D2C46"/>
    <w:p w:rsidR="007D2C46" w:rsidRPr="007D2C46" w:rsidRDefault="007D2C46" w:rsidP="007D2C46">
      <w:r w:rsidRPr="007D2C46">
        <w:t xml:space="preserve">En 2017, le montant total des recettes d’investissement atteint 19,4 M€ (dont 10,4 M€ de recettes réelles intégrant 4,9 M€ d’emprunts et 3,1 M€ d’excédent de fonctionnement capitalisé) et celui des dépenses d’investissement 18,0 M€ (dont 14,0 M€ de dépenses réelles). Sur les opérations 2017, la section d’investissement présente donc un résultat excédentaire de 1,4 M€. </w:t>
      </w:r>
    </w:p>
    <w:p w:rsidR="007D2C46" w:rsidRPr="007D2C46" w:rsidRDefault="007D2C46" w:rsidP="007D2C46"/>
    <w:p w:rsidR="007D2C46" w:rsidRPr="007D2C46" w:rsidRDefault="007D2C46" w:rsidP="007D2C46">
      <w:r w:rsidRPr="007D2C46">
        <w:t>En intégrant le déficit d’investissement reporté de 2016 (-4,3 M€), le solde d’exécution de la section d’investissement 2017 s’élève à -2,9 M€.</w:t>
      </w:r>
    </w:p>
    <w:p w:rsidR="007D2C46" w:rsidRPr="007D2C46" w:rsidRDefault="007D2C46" w:rsidP="007D2C46"/>
    <w:p w:rsidR="007D2C46" w:rsidRPr="007D2C46" w:rsidRDefault="007D2C46" w:rsidP="007D2C46">
      <w:r w:rsidRPr="007D2C46">
        <w:t xml:space="preserve">Le solde positif des RAR 2017 (+0,6 M€) permet d’atténuer le besoin de financement de la section d’investissement, qui s’élève à -2,3 M€. </w:t>
      </w:r>
    </w:p>
    <w:p w:rsidR="007D2C46" w:rsidRPr="007D2C46" w:rsidRDefault="007D2C46" w:rsidP="007D2C46"/>
    <w:p w:rsidR="007D2C46" w:rsidRPr="007D2C46" w:rsidRDefault="007D2C46" w:rsidP="007D2C46">
      <w:pPr>
        <w:numPr>
          <w:ilvl w:val="0"/>
          <w:numId w:val="31"/>
        </w:numPr>
        <w:contextualSpacing/>
        <w:rPr>
          <w:rFonts w:cs="Tahoma"/>
          <w:b/>
        </w:rPr>
      </w:pPr>
      <w:r w:rsidRPr="007D2C46">
        <w:rPr>
          <w:rFonts w:cs="Tahoma"/>
          <w:b/>
        </w:rPr>
        <w:t>Synthèse</w:t>
      </w:r>
    </w:p>
    <w:p w:rsidR="007D2C46" w:rsidRPr="007D2C46" w:rsidRDefault="007D2C46" w:rsidP="007D2C46"/>
    <w:p w:rsidR="007D2C46" w:rsidRPr="007D2C46" w:rsidRDefault="007D2C46" w:rsidP="007D2C46">
      <w:r w:rsidRPr="007D2C46">
        <w:t>Les opérations de 2017 tant en fonctionnement qu’en investissement ont dégagé un résultat excédentaire de 4,5 M€ (dont 3,1 M€ d’excédent de fonctionnement capitalisé). En intégrant le solde des reste-à-réaliser (+0,6M€), le solde de l’exercice s’élève à 5,1 M€. Le résultat global des deux sections atteint 4,4 M€ après intégration des résultats antérieurs.</w:t>
      </w:r>
    </w:p>
    <w:p w:rsidR="007D2C46" w:rsidRPr="007D2C46" w:rsidRDefault="007D2C46" w:rsidP="007D2C46">
      <w:pPr>
        <w:jc w:val="left"/>
      </w:pPr>
      <w:r w:rsidRPr="007D2C46">
        <w:br w:type="page"/>
      </w:r>
    </w:p>
    <w:p w:rsidR="007D2C46" w:rsidRPr="007D2C46" w:rsidRDefault="007D2C46" w:rsidP="007D2C46">
      <w:pPr>
        <w:jc w:val="center"/>
        <w:sectPr w:rsidR="007D2C46" w:rsidRPr="007D2C46" w:rsidSect="00E31730">
          <w:headerReference w:type="first" r:id="rId16"/>
          <w:footerReference w:type="first" r:id="rId17"/>
          <w:pgSz w:w="11906" w:h="16838"/>
          <w:pgMar w:top="1418" w:right="1134" w:bottom="1134" w:left="1134" w:header="720" w:footer="1134" w:gutter="0"/>
          <w:cols w:space="720"/>
          <w:titlePg/>
          <w:docGrid w:linePitch="360"/>
        </w:sectPr>
      </w:pPr>
      <w:r w:rsidRPr="007D2C46">
        <w:rPr>
          <w:noProof/>
          <w:lang w:eastAsia="fr-FR"/>
        </w:rPr>
        <w:lastRenderedPageBreak/>
        <w:drawing>
          <wp:inline distT="0" distB="0" distL="0" distR="0" wp14:anchorId="75D4AC5B" wp14:editId="7AE517D7">
            <wp:extent cx="5860037" cy="8746435"/>
            <wp:effectExtent l="0" t="0" r="762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9132" cy="8745085"/>
                    </a:xfrm>
                    <a:prstGeom prst="rect">
                      <a:avLst/>
                    </a:prstGeom>
                    <a:noFill/>
                    <a:ln>
                      <a:noFill/>
                    </a:ln>
                  </pic:spPr>
                </pic:pic>
              </a:graphicData>
            </a:graphic>
          </wp:inline>
        </w:drawing>
      </w:r>
    </w:p>
    <w:p w:rsidR="007D2C46" w:rsidRPr="007D2C46" w:rsidRDefault="007D2C46" w:rsidP="007D2C46">
      <w:pPr>
        <w:jc w:val="left"/>
      </w:pPr>
      <w:r w:rsidRPr="007D2C46">
        <w:rPr>
          <w:noProof/>
          <w:lang w:eastAsia="fr-FR"/>
        </w:rPr>
        <w:lastRenderedPageBreak/>
        <w:drawing>
          <wp:inline distT="0" distB="0" distL="0" distR="0" wp14:anchorId="41D08BD1" wp14:editId="78909C60">
            <wp:extent cx="9071610" cy="4932711"/>
            <wp:effectExtent l="0" t="0" r="0"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71610" cy="4932711"/>
                    </a:xfrm>
                    <a:prstGeom prst="rect">
                      <a:avLst/>
                    </a:prstGeom>
                    <a:noFill/>
                    <a:ln>
                      <a:noFill/>
                    </a:ln>
                  </pic:spPr>
                </pic:pic>
              </a:graphicData>
            </a:graphic>
          </wp:inline>
        </w:drawing>
      </w:r>
    </w:p>
    <w:p w:rsidR="007D2C46" w:rsidRPr="007D2C46" w:rsidRDefault="007D2C46" w:rsidP="007D2C46">
      <w:pPr>
        <w:jc w:val="left"/>
      </w:pPr>
    </w:p>
    <w:p w:rsidR="007D2C46" w:rsidRPr="007D2C46" w:rsidRDefault="007D2C46" w:rsidP="007D2C46">
      <w:pPr>
        <w:jc w:val="left"/>
        <w:sectPr w:rsidR="007D2C46" w:rsidRPr="007D2C46" w:rsidSect="00E31730">
          <w:headerReference w:type="first" r:id="rId20"/>
          <w:footerReference w:type="first" r:id="rId21"/>
          <w:pgSz w:w="16838" w:h="11906" w:orient="landscape"/>
          <w:pgMar w:top="1134" w:right="1418" w:bottom="1134" w:left="1134" w:header="720" w:footer="1134" w:gutter="0"/>
          <w:cols w:space="720"/>
          <w:titlePg/>
          <w:docGrid w:linePitch="360"/>
        </w:sectPr>
      </w:pPr>
    </w:p>
    <w:p w:rsidR="007D2C46" w:rsidRPr="007D2C46" w:rsidRDefault="007D2C46" w:rsidP="007D2C46">
      <w:pPr>
        <w:keepNext/>
        <w:keepLines/>
        <w:numPr>
          <w:ilvl w:val="0"/>
          <w:numId w:val="6"/>
        </w:numPr>
        <w:spacing w:before="200"/>
        <w:outlineLvl w:val="2"/>
        <w:rPr>
          <w:rFonts w:eastAsiaTheme="majorEastAsia" w:cstheme="majorBidi"/>
          <w:bCs/>
          <w:color w:val="000000" w:themeColor="text1"/>
          <w:sz w:val="24"/>
          <w:u w:val="single"/>
        </w:rPr>
      </w:pPr>
      <w:bookmarkStart w:id="16" w:name="_Toc509415418"/>
      <w:r w:rsidRPr="007D2C46">
        <w:rPr>
          <w:rFonts w:eastAsiaTheme="majorEastAsia" w:cstheme="majorBidi"/>
          <w:bCs/>
          <w:color w:val="000000" w:themeColor="text1"/>
          <w:sz w:val="24"/>
          <w:u w:val="single"/>
        </w:rPr>
        <w:lastRenderedPageBreak/>
        <w:t>Le budget annexe des projets d’aménagement</w:t>
      </w:r>
      <w:bookmarkEnd w:id="16"/>
    </w:p>
    <w:p w:rsidR="007D2C46" w:rsidRPr="007D2C46" w:rsidRDefault="007D2C46" w:rsidP="007D2C46">
      <w:pPr>
        <w:rPr>
          <w:rFonts w:cs="Tahoma"/>
        </w:rPr>
      </w:pPr>
    </w:p>
    <w:p w:rsidR="007D2C46" w:rsidRPr="007D2C46" w:rsidRDefault="007D2C46" w:rsidP="007D2C46">
      <w:pPr>
        <w:rPr>
          <w:rFonts w:cs="Tahoma"/>
        </w:rPr>
      </w:pPr>
      <w:r w:rsidRPr="007D2C46">
        <w:rPr>
          <w:rFonts w:cs="Tahoma"/>
        </w:rPr>
        <w:t>Au terme de l’exercice 2017, l’exécution budgétaire sur le budget annexe projets d’aménagement permet de dégager les équilibres suivants :</w:t>
      </w:r>
    </w:p>
    <w:p w:rsidR="007D2C46" w:rsidRPr="007D2C46" w:rsidRDefault="007D2C46" w:rsidP="007D2C46">
      <w:pPr>
        <w:rPr>
          <w:rFonts w:cs="Tahoma"/>
        </w:rPr>
      </w:pPr>
    </w:p>
    <w:p w:rsidR="007D2C46" w:rsidRPr="007D2C46" w:rsidRDefault="007D2C46" w:rsidP="007D2C46">
      <w:pPr>
        <w:numPr>
          <w:ilvl w:val="0"/>
          <w:numId w:val="32"/>
        </w:numPr>
        <w:contextualSpacing/>
        <w:rPr>
          <w:rFonts w:cs="Tahoma"/>
          <w:b/>
        </w:rPr>
      </w:pPr>
      <w:r w:rsidRPr="007D2C46">
        <w:rPr>
          <w:rFonts w:cs="Tahoma"/>
          <w:b/>
        </w:rPr>
        <w:t>Section de fonctionnement : excédent de fonctionnement de 2,13 M€.</w:t>
      </w:r>
    </w:p>
    <w:p w:rsidR="007D2C46" w:rsidRPr="007D2C46" w:rsidRDefault="007D2C46" w:rsidP="007D2C46">
      <w:pPr>
        <w:rPr>
          <w:rFonts w:cs="Tahoma"/>
        </w:rPr>
      </w:pPr>
    </w:p>
    <w:p w:rsidR="007D2C46" w:rsidRPr="007D2C46" w:rsidRDefault="007D2C46" w:rsidP="007D2C46">
      <w:pPr>
        <w:rPr>
          <w:rFonts w:cs="Tahoma"/>
        </w:rPr>
      </w:pPr>
      <w:r w:rsidRPr="007D2C46">
        <w:rPr>
          <w:rFonts w:cs="Tahoma"/>
        </w:rPr>
        <w:t xml:space="preserve">Sur 2017, le montant total des recettes de fonctionnement atteint 2,6 M€ (dont 1,9 M€ de recettes réelles) et celui des dépenses de fonctionnement 2,6 M€ (dont 0,2 M€ de dépenses réelles). </w:t>
      </w:r>
    </w:p>
    <w:p w:rsidR="007D2C46" w:rsidRPr="007D2C46" w:rsidRDefault="007D2C46" w:rsidP="007D2C46">
      <w:pPr>
        <w:rPr>
          <w:rFonts w:cs="Tahoma"/>
        </w:rPr>
      </w:pPr>
    </w:p>
    <w:p w:rsidR="007D2C46" w:rsidRPr="007D2C46" w:rsidRDefault="007D2C46" w:rsidP="007D2C46">
      <w:pPr>
        <w:rPr>
          <w:rFonts w:cs="Tahoma"/>
        </w:rPr>
      </w:pPr>
      <w:r w:rsidRPr="007D2C46">
        <w:rPr>
          <w:rFonts w:cs="Tahoma"/>
        </w:rPr>
        <w:t xml:space="preserve">En intégrant le résultat de fonctionnement reporté de 2016, la section de fonctionnement du budget annexe des projets d’aménagement présente donc un résultat excédentaire de 2,1 M€. </w:t>
      </w:r>
    </w:p>
    <w:p w:rsidR="007D2C46" w:rsidRPr="007D2C46" w:rsidRDefault="007D2C46" w:rsidP="007D2C46">
      <w:pPr>
        <w:rPr>
          <w:rFonts w:cs="Tahoma"/>
        </w:rPr>
      </w:pPr>
    </w:p>
    <w:p w:rsidR="007D2C46" w:rsidRPr="007D2C46" w:rsidRDefault="007D2C46" w:rsidP="007D2C46">
      <w:pPr>
        <w:numPr>
          <w:ilvl w:val="0"/>
          <w:numId w:val="32"/>
        </w:numPr>
        <w:contextualSpacing/>
        <w:rPr>
          <w:rFonts w:cs="Tahoma"/>
          <w:b/>
        </w:rPr>
      </w:pPr>
      <w:r w:rsidRPr="007D2C46">
        <w:rPr>
          <w:rFonts w:cs="Tahoma"/>
          <w:b/>
        </w:rPr>
        <w:t>Section d’investissement : excédent d’investissement de 0,77 M€</w:t>
      </w:r>
    </w:p>
    <w:p w:rsidR="007D2C46" w:rsidRPr="007D2C46" w:rsidRDefault="007D2C46" w:rsidP="007D2C46">
      <w:pPr>
        <w:rPr>
          <w:rFonts w:cs="Tahoma"/>
        </w:rPr>
      </w:pPr>
    </w:p>
    <w:p w:rsidR="007D2C46" w:rsidRPr="007D2C46" w:rsidRDefault="007D2C46" w:rsidP="007D2C46">
      <w:pPr>
        <w:rPr>
          <w:rFonts w:cs="Tahoma"/>
        </w:rPr>
      </w:pPr>
      <w:r w:rsidRPr="007D2C46">
        <w:rPr>
          <w:rFonts w:cs="Tahoma"/>
        </w:rPr>
        <w:t>Les recettes d’investissement se sont élevées en 2017 à 16,3 M€ (dont 11,7 M€ de recettes réelles, intégrant 10,8 M€ d’emprunts). Les dépenses d’investissement ont atteint quant à elles 12,1 M€ (dont 9,3 M€ de dépenses réelles). La section d’investissement présente donc un résultat positif de 4,1 M€. En intégrant le déficit d’investissement reporté de 2016 (- 6,0 M€), le solde d’exécution 2017 de la section d’investissement est porté à -1,9 M€.</w:t>
      </w:r>
    </w:p>
    <w:p w:rsidR="007D2C46" w:rsidRPr="007D2C46" w:rsidRDefault="007D2C46" w:rsidP="007D2C46">
      <w:pPr>
        <w:rPr>
          <w:rFonts w:cs="Tahoma"/>
        </w:rPr>
      </w:pPr>
    </w:p>
    <w:p w:rsidR="007D2C46" w:rsidRPr="007D2C46" w:rsidRDefault="007D2C46" w:rsidP="007D2C46">
      <w:pPr>
        <w:numPr>
          <w:ilvl w:val="0"/>
          <w:numId w:val="32"/>
        </w:numPr>
        <w:contextualSpacing/>
        <w:rPr>
          <w:rFonts w:cs="Tahoma"/>
          <w:b/>
        </w:rPr>
      </w:pPr>
      <w:r w:rsidRPr="007D2C46">
        <w:rPr>
          <w:rFonts w:cs="Tahoma"/>
          <w:b/>
        </w:rPr>
        <w:t xml:space="preserve">Synthèse </w:t>
      </w:r>
    </w:p>
    <w:p w:rsidR="007D2C46" w:rsidRPr="007D2C46" w:rsidRDefault="007D2C46" w:rsidP="007D2C46">
      <w:pPr>
        <w:rPr>
          <w:rFonts w:cs="Tahoma"/>
        </w:rPr>
      </w:pPr>
    </w:p>
    <w:p w:rsidR="007D2C46" w:rsidRPr="007D2C46" w:rsidRDefault="007D2C46" w:rsidP="007D2C46">
      <w:pPr>
        <w:rPr>
          <w:rFonts w:cs="Tahoma"/>
        </w:rPr>
      </w:pPr>
      <w:r w:rsidRPr="007D2C46">
        <w:rPr>
          <w:rFonts w:cs="Tahoma"/>
        </w:rPr>
        <w:t>Les opérations de 2017 tant en investissement qu’en fonctionnement ont dégagé un résultat excédentaire de 4,1 M€. Le solde global des deux sections atteint 0,2 M€ après avoir intégré les résultats antérieurs.</w:t>
      </w:r>
    </w:p>
    <w:p w:rsidR="007D2C46" w:rsidRPr="007D2C46" w:rsidRDefault="007D2C46" w:rsidP="007D2C46">
      <w:pPr>
        <w:jc w:val="left"/>
        <w:rPr>
          <w:rFonts w:cs="Tahoma"/>
        </w:rPr>
        <w:sectPr w:rsidR="007D2C46" w:rsidRPr="007D2C46" w:rsidSect="00E31730">
          <w:headerReference w:type="first" r:id="rId22"/>
          <w:footerReference w:type="first" r:id="rId23"/>
          <w:pgSz w:w="11906" w:h="16838"/>
          <w:pgMar w:top="1418" w:right="1134" w:bottom="1134" w:left="1134" w:header="720" w:footer="1134" w:gutter="0"/>
          <w:cols w:space="720"/>
          <w:titlePg/>
          <w:docGrid w:linePitch="360"/>
        </w:sectPr>
      </w:pPr>
      <w:r w:rsidRPr="007D2C46">
        <w:rPr>
          <w:rFonts w:cs="Tahoma"/>
        </w:rPr>
        <w:br w:type="page"/>
      </w:r>
      <w:r w:rsidRPr="007D2C46">
        <w:rPr>
          <w:rFonts w:cs="Tahoma"/>
          <w:noProof/>
          <w:lang w:eastAsia="fr-FR"/>
        </w:rPr>
        <w:lastRenderedPageBreak/>
        <w:drawing>
          <wp:inline distT="0" distB="0" distL="0" distR="0" wp14:anchorId="5ECC0BB4" wp14:editId="54E9E9E8">
            <wp:extent cx="6120130" cy="720803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7208032"/>
                    </a:xfrm>
                    <a:prstGeom prst="rect">
                      <a:avLst/>
                    </a:prstGeom>
                    <a:noFill/>
                    <a:ln>
                      <a:noFill/>
                    </a:ln>
                  </pic:spPr>
                </pic:pic>
              </a:graphicData>
            </a:graphic>
          </wp:inline>
        </w:drawing>
      </w:r>
    </w:p>
    <w:p w:rsidR="007D2C46" w:rsidRPr="007D2C46" w:rsidRDefault="007D2C46" w:rsidP="007D2C46">
      <w:pPr>
        <w:jc w:val="left"/>
        <w:rPr>
          <w:rFonts w:cs="Tahoma"/>
        </w:rPr>
      </w:pPr>
    </w:p>
    <w:p w:rsidR="007D2C46" w:rsidRPr="007D2C46" w:rsidRDefault="007D2C46" w:rsidP="007D2C46">
      <w:pPr>
        <w:jc w:val="left"/>
        <w:rPr>
          <w:rFonts w:cs="Tahoma"/>
        </w:rPr>
        <w:sectPr w:rsidR="007D2C46" w:rsidRPr="007D2C46" w:rsidSect="00E31730">
          <w:headerReference w:type="first" r:id="rId25"/>
          <w:footerReference w:type="first" r:id="rId26"/>
          <w:pgSz w:w="16838" w:h="11906" w:orient="landscape"/>
          <w:pgMar w:top="1134" w:right="1418" w:bottom="1134" w:left="1134" w:header="720" w:footer="1134" w:gutter="0"/>
          <w:cols w:space="720"/>
          <w:titlePg/>
          <w:docGrid w:linePitch="360"/>
        </w:sectPr>
      </w:pPr>
      <w:r w:rsidRPr="007D2C46">
        <w:rPr>
          <w:rFonts w:cs="Tahoma"/>
          <w:noProof/>
          <w:lang w:eastAsia="fr-FR"/>
        </w:rPr>
        <w:drawing>
          <wp:inline distT="0" distB="0" distL="0" distR="0" wp14:anchorId="2CBF4A3D" wp14:editId="418FE1A6">
            <wp:extent cx="9071610" cy="5003433"/>
            <wp:effectExtent l="0" t="0" r="0" b="698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71610" cy="5003433"/>
                    </a:xfrm>
                    <a:prstGeom prst="rect">
                      <a:avLst/>
                    </a:prstGeom>
                    <a:noFill/>
                    <a:ln>
                      <a:noFill/>
                    </a:ln>
                  </pic:spPr>
                </pic:pic>
              </a:graphicData>
            </a:graphic>
          </wp:inline>
        </w:drawing>
      </w:r>
    </w:p>
    <w:p w:rsidR="007D2C46" w:rsidRPr="007D2C46" w:rsidRDefault="007D2C46" w:rsidP="007D2C46">
      <w:pPr>
        <w:keepNext/>
        <w:keepLines/>
        <w:numPr>
          <w:ilvl w:val="0"/>
          <w:numId w:val="5"/>
        </w:numPr>
        <w:spacing w:before="200"/>
        <w:outlineLvl w:val="1"/>
        <w:rPr>
          <w:rFonts w:eastAsiaTheme="majorEastAsia" w:cstheme="majorBidi"/>
          <w:b/>
          <w:bCs/>
          <w:color w:val="000000" w:themeColor="text1"/>
          <w:sz w:val="28"/>
          <w:szCs w:val="26"/>
        </w:rPr>
      </w:pPr>
      <w:bookmarkStart w:id="17" w:name="_Toc509415419"/>
      <w:r w:rsidRPr="007D2C46">
        <w:rPr>
          <w:rFonts w:eastAsiaTheme="majorEastAsia" w:cstheme="majorBidi"/>
          <w:b/>
          <w:bCs/>
          <w:color w:val="000000" w:themeColor="text1"/>
          <w:sz w:val="28"/>
          <w:szCs w:val="26"/>
        </w:rPr>
        <w:lastRenderedPageBreak/>
        <w:t>Les taux d’exécution</w:t>
      </w:r>
      <w:bookmarkEnd w:id="17"/>
    </w:p>
    <w:p w:rsidR="007D2C46" w:rsidRPr="007D2C46" w:rsidRDefault="007D2C46" w:rsidP="007D2C46"/>
    <w:p w:rsidR="007D2C46" w:rsidRPr="007D2C46" w:rsidRDefault="007D2C46" w:rsidP="007D2C46"/>
    <w:p w:rsidR="007D2C46" w:rsidRPr="007D2C46" w:rsidRDefault="007D2C46" w:rsidP="007D2C46">
      <w:r w:rsidRPr="007D2C46">
        <w:t>Les taux d’exécution sont établis sur la base des dépenses et des recettes réelles retraitées :</w:t>
      </w:r>
    </w:p>
    <w:p w:rsidR="007D2C46" w:rsidRPr="007D2C46" w:rsidRDefault="007D2C46" w:rsidP="007D2C46"/>
    <w:p w:rsidR="007D2C46" w:rsidRPr="007D2C46" w:rsidRDefault="007D2C46" w:rsidP="007D2C46">
      <w:pPr>
        <w:numPr>
          <w:ilvl w:val="0"/>
          <w:numId w:val="20"/>
        </w:numPr>
        <w:contextualSpacing/>
      </w:pPr>
      <w:r w:rsidRPr="007D2C46">
        <w:t xml:space="preserve">des lignes budgétaires de reprise du résultat (comptes 001, 002 et 1068), </w:t>
      </w:r>
    </w:p>
    <w:p w:rsidR="007D2C46" w:rsidRPr="007D2C46" w:rsidRDefault="007D2C46" w:rsidP="007D2C46">
      <w:pPr>
        <w:numPr>
          <w:ilvl w:val="0"/>
          <w:numId w:val="20"/>
        </w:numPr>
        <w:contextualSpacing/>
      </w:pPr>
      <w:r w:rsidRPr="007D2C46">
        <w:t>des opérations afférentes à l’option de tirage sur une ligne de trésorerie toujours équilibrées en dépenses et en recettes (nature 16449),</w:t>
      </w:r>
    </w:p>
    <w:p w:rsidR="007D2C46" w:rsidRPr="007D2C46" w:rsidRDefault="007D2C46" w:rsidP="007D2C46">
      <w:pPr>
        <w:numPr>
          <w:ilvl w:val="0"/>
          <w:numId w:val="20"/>
        </w:numPr>
        <w:contextualSpacing/>
      </w:pPr>
      <w:r w:rsidRPr="007D2C46">
        <w:t xml:space="preserve">des flux de participation du budget principal vers les budgets annexes (neutralisation de la dépense sur le budget principal et de la recette sur le budget annexe concerné), </w:t>
      </w:r>
    </w:p>
    <w:p w:rsidR="007D2C46" w:rsidRPr="007D2C46" w:rsidRDefault="007D2C46" w:rsidP="007D2C46">
      <w:pPr>
        <w:numPr>
          <w:ilvl w:val="0"/>
          <w:numId w:val="20"/>
        </w:numPr>
        <w:contextualSpacing/>
      </w:pPr>
      <w:r w:rsidRPr="007D2C46">
        <w:t>du montant de l’emprunt dit d’équilibre.</w:t>
      </w:r>
    </w:p>
    <w:p w:rsidR="007D2C46" w:rsidRPr="007D2C46" w:rsidRDefault="007D2C46" w:rsidP="007D2C46">
      <w:pPr>
        <w:ind w:firstLine="708"/>
        <w:rPr>
          <w:rFonts w:cs="Tahoma"/>
        </w:rPr>
      </w:pPr>
    </w:p>
    <w:p w:rsidR="007D2C46" w:rsidRPr="007D2C46" w:rsidRDefault="007D2C46" w:rsidP="007D2C46">
      <w:pPr>
        <w:keepNext/>
        <w:keepLines/>
        <w:numPr>
          <w:ilvl w:val="0"/>
          <w:numId w:val="3"/>
        </w:numPr>
        <w:spacing w:before="200"/>
        <w:outlineLvl w:val="2"/>
        <w:rPr>
          <w:rFonts w:eastAsiaTheme="majorEastAsia" w:cstheme="majorBidi"/>
          <w:bCs/>
          <w:color w:val="000000" w:themeColor="text1"/>
          <w:sz w:val="24"/>
          <w:u w:val="single"/>
        </w:rPr>
      </w:pPr>
      <w:bookmarkStart w:id="18" w:name="_Toc509415420"/>
      <w:r w:rsidRPr="007D2C46">
        <w:rPr>
          <w:rFonts w:eastAsiaTheme="majorEastAsia" w:cstheme="majorBidi"/>
          <w:bCs/>
          <w:color w:val="000000" w:themeColor="text1"/>
          <w:sz w:val="24"/>
          <w:u w:val="single"/>
        </w:rPr>
        <w:t>Le budget principal</w:t>
      </w:r>
      <w:bookmarkEnd w:id="18"/>
    </w:p>
    <w:p w:rsidR="007D2C46" w:rsidRPr="007D2C46" w:rsidRDefault="007D2C46" w:rsidP="007D2C46">
      <w:pPr>
        <w:rPr>
          <w:rFonts w:cs="Tahoma"/>
        </w:rPr>
      </w:pPr>
    </w:p>
    <w:p w:rsidR="007D2C46" w:rsidRPr="007D2C46" w:rsidRDefault="007D2C46" w:rsidP="007D2C46">
      <w:pPr>
        <w:jc w:val="center"/>
        <w:rPr>
          <w:rFonts w:cs="Tahoma"/>
          <w:b/>
        </w:rPr>
      </w:pPr>
      <w:r w:rsidRPr="007D2C46">
        <w:rPr>
          <w:rFonts w:cs="Tahoma"/>
          <w:b/>
        </w:rPr>
        <w:t>Evolution des taux d’exécution</w:t>
      </w:r>
      <w:r w:rsidRPr="007D2C46">
        <w:rPr>
          <w:rFonts w:cs="Tahoma"/>
          <w:b/>
        </w:rPr>
        <w:br/>
        <w:t>des dépenses et recettes réelles de fonctionnement</w:t>
      </w:r>
    </w:p>
    <w:p w:rsidR="007D2C46" w:rsidRPr="007D2C46" w:rsidRDefault="007D2C46" w:rsidP="007D2C46">
      <w:pPr>
        <w:jc w:val="center"/>
        <w:rPr>
          <w:rFonts w:cs="Tahoma"/>
          <w:b/>
        </w:rPr>
      </w:pPr>
      <w:r w:rsidRPr="007D2C46">
        <w:rPr>
          <w:rFonts w:cs="Tahoma"/>
          <w:b/>
          <w:noProof/>
          <w:lang w:eastAsia="fr-FR"/>
        </w:rPr>
        <w:drawing>
          <wp:inline distT="0" distB="0" distL="0" distR="0" wp14:anchorId="47D06ED4" wp14:editId="22388678">
            <wp:extent cx="5511800" cy="2917877"/>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511800" cy="2917877"/>
                    </a:xfrm>
                    <a:prstGeom prst="rect">
                      <a:avLst/>
                    </a:prstGeom>
                    <a:noFill/>
                  </pic:spPr>
                </pic:pic>
              </a:graphicData>
            </a:graphic>
          </wp:inline>
        </w:drawing>
      </w:r>
    </w:p>
    <w:p w:rsidR="007D2C46" w:rsidRPr="007D2C46" w:rsidRDefault="007D2C46" w:rsidP="007D2C46">
      <w:pPr>
        <w:jc w:val="center"/>
        <w:rPr>
          <w:rFonts w:cs="Tahoma"/>
          <w:b/>
        </w:rPr>
      </w:pPr>
    </w:p>
    <w:p w:rsidR="007D2C46" w:rsidRPr="007D2C46" w:rsidRDefault="007D2C46" w:rsidP="007D2C46">
      <w:pPr>
        <w:rPr>
          <w:rFonts w:cs="Tahoma"/>
        </w:rPr>
      </w:pPr>
      <w:r w:rsidRPr="007D2C46">
        <w:rPr>
          <w:rFonts w:cs="Tahoma"/>
        </w:rPr>
        <w:t>Le taux d’exécution des dépenses réelles de fonctionnement enregistre une légère progression en dépenses (97,9 % en 2017 contre 97,8% en 2016).  Les charges à caractère général sont insuffisamment consommées (taux de réalisation de 94,6%). On observe en effet une sous-consommation des crédits inscrits au titre :</w:t>
      </w:r>
    </w:p>
    <w:p w:rsidR="007D2C46" w:rsidRPr="007D2C46" w:rsidRDefault="007D2C46" w:rsidP="007D2C46">
      <w:pPr>
        <w:numPr>
          <w:ilvl w:val="0"/>
          <w:numId w:val="32"/>
        </w:numPr>
        <w:contextualSpacing/>
        <w:rPr>
          <w:rFonts w:cs="Tahoma"/>
        </w:rPr>
      </w:pPr>
      <w:r w:rsidRPr="007D2C46">
        <w:rPr>
          <w:rFonts w:cs="Tahoma"/>
        </w:rPr>
        <w:t>De la prévention et de la valorisation des déchets, malgré un taux de réalisation important (97,4%) : les crédits restitués en fin d’exercice s’élèvent notamment à 981 K€.</w:t>
      </w:r>
    </w:p>
    <w:p w:rsidR="007D2C46" w:rsidRPr="007D2C46" w:rsidRDefault="007D2C46" w:rsidP="007D2C46">
      <w:pPr>
        <w:numPr>
          <w:ilvl w:val="0"/>
          <w:numId w:val="32"/>
        </w:numPr>
        <w:contextualSpacing/>
        <w:rPr>
          <w:rFonts w:cs="Tahoma"/>
        </w:rPr>
      </w:pPr>
      <w:r w:rsidRPr="007D2C46">
        <w:rPr>
          <w:rFonts w:cs="Tahoma"/>
        </w:rPr>
        <w:t>Du renouvellement urbain territorial (292 K€ de crédits budgétés non consommés, ce qui porte le taux de réalisation sur cette politique à 78,5%).</w:t>
      </w:r>
    </w:p>
    <w:p w:rsidR="007D2C46" w:rsidRPr="007D2C46" w:rsidRDefault="007D2C46" w:rsidP="007D2C46">
      <w:pPr>
        <w:rPr>
          <w:rFonts w:cs="Tahoma"/>
        </w:rPr>
      </w:pPr>
      <w:r w:rsidRPr="007D2C46">
        <w:rPr>
          <w:rFonts w:cs="Tahoma"/>
        </w:rPr>
        <w:t xml:space="preserve">Le taux d’exécution des recettes de fonctionnement enregistre une nette progression (102,2%) en raison de l’importance des recettes exceptionnelles perçues en 2017 : </w:t>
      </w:r>
    </w:p>
    <w:p w:rsidR="007D2C46" w:rsidRPr="007D2C46" w:rsidRDefault="007D2C46" w:rsidP="007D2C46">
      <w:pPr>
        <w:numPr>
          <w:ilvl w:val="0"/>
          <w:numId w:val="32"/>
        </w:numPr>
        <w:contextualSpacing/>
        <w:rPr>
          <w:rFonts w:cs="Tahoma"/>
        </w:rPr>
      </w:pPr>
      <w:r w:rsidRPr="007D2C46">
        <w:rPr>
          <w:rFonts w:cs="Tahoma"/>
        </w:rPr>
        <w:t>3,5 M€ de rôles supplémentaires sur la fiscalité ont été en effet titrés en 2017</w:t>
      </w:r>
    </w:p>
    <w:p w:rsidR="007D2C46" w:rsidRPr="007D2C46" w:rsidRDefault="007D2C46" w:rsidP="007D2C46">
      <w:pPr>
        <w:numPr>
          <w:ilvl w:val="0"/>
          <w:numId w:val="32"/>
        </w:numPr>
        <w:contextualSpacing/>
        <w:rPr>
          <w:rFonts w:cs="Tahoma"/>
        </w:rPr>
      </w:pPr>
      <w:r w:rsidRPr="007D2C46">
        <w:rPr>
          <w:rFonts w:cs="Tahoma"/>
        </w:rPr>
        <w:t>3,1 M€ d’autres recettes exceptionnelles correspondant notamment à des apurements de rattachements (2,5 M€) ont été constatés en 2017.</w:t>
      </w:r>
    </w:p>
    <w:p w:rsidR="007D2C46" w:rsidRPr="007D2C46" w:rsidRDefault="007D2C46" w:rsidP="007D2C46">
      <w:pPr>
        <w:tabs>
          <w:tab w:val="left" w:pos="8775"/>
        </w:tabs>
        <w:rPr>
          <w:rFonts w:cs="Tahoma"/>
        </w:rPr>
      </w:pPr>
      <w:r w:rsidRPr="007D2C46">
        <w:rPr>
          <w:rFonts w:cs="Tahoma"/>
        </w:rPr>
        <w:lastRenderedPageBreak/>
        <w:tab/>
      </w:r>
    </w:p>
    <w:p w:rsidR="007D2C46" w:rsidRPr="007D2C46" w:rsidRDefault="007D2C46" w:rsidP="007D2C46">
      <w:pPr>
        <w:jc w:val="center"/>
        <w:rPr>
          <w:rFonts w:cs="Tahoma"/>
          <w:b/>
        </w:rPr>
      </w:pPr>
      <w:r w:rsidRPr="007D2C46">
        <w:rPr>
          <w:rFonts w:cs="Tahoma"/>
          <w:b/>
        </w:rPr>
        <w:t>Evolution du taux d’exécution des</w:t>
      </w:r>
      <w:r w:rsidRPr="007D2C46">
        <w:rPr>
          <w:rFonts w:cs="Tahoma"/>
          <w:b/>
        </w:rPr>
        <w:br/>
        <w:t>dépenses et recettes réelles d’investissement</w:t>
      </w:r>
    </w:p>
    <w:p w:rsidR="007D2C46" w:rsidRPr="007D2C46" w:rsidRDefault="007D2C46" w:rsidP="007D2C46">
      <w:pPr>
        <w:jc w:val="center"/>
        <w:rPr>
          <w:rFonts w:cs="Tahoma"/>
          <w:b/>
        </w:rPr>
      </w:pPr>
      <w:r w:rsidRPr="007D2C46">
        <w:rPr>
          <w:rFonts w:cs="Tahoma"/>
          <w:b/>
          <w:noProof/>
          <w:lang w:eastAsia="fr-FR"/>
        </w:rPr>
        <w:drawing>
          <wp:inline distT="0" distB="0" distL="0" distR="0" wp14:anchorId="6D8B800F" wp14:editId="1BBCB0D1">
            <wp:extent cx="6311900" cy="2855728"/>
            <wp:effectExtent l="0" t="0" r="0" b="190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t="8650"/>
                    <a:stretch/>
                  </pic:blipFill>
                  <pic:spPr bwMode="auto">
                    <a:xfrm>
                      <a:off x="0" y="0"/>
                      <a:ext cx="6313744" cy="2856562"/>
                    </a:xfrm>
                    <a:prstGeom prst="rect">
                      <a:avLst/>
                    </a:prstGeom>
                    <a:noFill/>
                    <a:ln>
                      <a:noFill/>
                    </a:ln>
                    <a:extLst>
                      <a:ext uri="{53640926-AAD7-44D8-BBD7-CCE9431645EC}">
                        <a14:shadowObscured xmlns:a14="http://schemas.microsoft.com/office/drawing/2010/main"/>
                      </a:ext>
                    </a:extLst>
                  </pic:spPr>
                </pic:pic>
              </a:graphicData>
            </a:graphic>
          </wp:inline>
        </w:drawing>
      </w:r>
    </w:p>
    <w:p w:rsidR="007D2C46" w:rsidRPr="007D2C46" w:rsidRDefault="007D2C46" w:rsidP="007D2C46">
      <w:pPr>
        <w:rPr>
          <w:rFonts w:cs="Tahoma"/>
        </w:rPr>
      </w:pPr>
    </w:p>
    <w:p w:rsidR="007D2C46" w:rsidRPr="007D2C46" w:rsidRDefault="007D2C46" w:rsidP="007D2C46">
      <w:pPr>
        <w:rPr>
          <w:rFonts w:cs="Tahoma"/>
        </w:rPr>
      </w:pPr>
      <w:r w:rsidRPr="007D2C46">
        <w:rPr>
          <w:rFonts w:cs="Tahoma"/>
        </w:rPr>
        <w:t xml:space="preserve">En investissement, le taux de réalisation des dépenses est supérieur à celui de 2016 (68,2% contre 65,9% en 2016). La sous-consommation de certaines opérations s’expliquent par certains retards opérationnels mais aussi les délais inhérents à l’achèvement des opérations qui se traduisent par des reports en N+1 : </w:t>
      </w:r>
      <w:r w:rsidRPr="007D2C46">
        <w:t>3,5 M</w:t>
      </w:r>
      <w:r w:rsidRPr="007D2C46">
        <w:rPr>
          <w:rFonts w:cs="Tahoma"/>
        </w:rPr>
        <w:t xml:space="preserve">€ de dépenses d’investissement de l’exercice 2017 sont ainsi reportés en 2018. </w:t>
      </w:r>
    </w:p>
    <w:p w:rsidR="007D2C46" w:rsidRPr="007D2C46" w:rsidRDefault="007D2C46" w:rsidP="007D2C46">
      <w:pPr>
        <w:rPr>
          <w:rFonts w:cs="Tahoma"/>
          <w:b/>
        </w:rPr>
      </w:pPr>
      <w:r w:rsidRPr="007D2C46">
        <w:rPr>
          <w:rFonts w:cs="Tahoma"/>
        </w:rPr>
        <w:t>Le taux d’exécution des recettes se porte à un niveau élevé (103,3%) en raison notamment de la perception de subventions en toute fin d’année qui n’avaient pas fait l’objet d’une prévision budgétaire.</w:t>
      </w:r>
    </w:p>
    <w:p w:rsidR="007D2C46" w:rsidRPr="007D2C46" w:rsidRDefault="007D2C46" w:rsidP="007D2C46">
      <w:pPr>
        <w:jc w:val="left"/>
        <w:rPr>
          <w:rFonts w:eastAsiaTheme="majorEastAsia" w:cstheme="majorBidi"/>
          <w:bCs/>
          <w:color w:val="000000" w:themeColor="text1"/>
          <w:sz w:val="24"/>
          <w:u w:val="single"/>
        </w:rPr>
      </w:pPr>
      <w:bookmarkStart w:id="19" w:name="_Toc447272233"/>
      <w:bookmarkStart w:id="20" w:name="_Toc447272234"/>
      <w:bookmarkStart w:id="21" w:name="_Toc447272235"/>
      <w:bookmarkStart w:id="22" w:name="_Toc447272236"/>
      <w:bookmarkStart w:id="23" w:name="_Toc447272237"/>
      <w:bookmarkEnd w:id="19"/>
      <w:bookmarkEnd w:id="20"/>
      <w:bookmarkEnd w:id="21"/>
      <w:bookmarkEnd w:id="22"/>
      <w:bookmarkEnd w:id="23"/>
      <w:r w:rsidRPr="007D2C46">
        <w:br w:type="page"/>
      </w:r>
    </w:p>
    <w:p w:rsidR="007D2C46" w:rsidRPr="007D2C46" w:rsidRDefault="007D2C46" w:rsidP="007D2C46">
      <w:pPr>
        <w:keepNext/>
        <w:keepLines/>
        <w:numPr>
          <w:ilvl w:val="0"/>
          <w:numId w:val="6"/>
        </w:numPr>
        <w:spacing w:before="200"/>
        <w:outlineLvl w:val="2"/>
        <w:rPr>
          <w:rFonts w:eastAsiaTheme="majorEastAsia" w:cstheme="majorBidi"/>
          <w:bCs/>
          <w:color w:val="000000" w:themeColor="text1"/>
          <w:sz w:val="24"/>
          <w:u w:val="single"/>
        </w:rPr>
      </w:pPr>
      <w:bookmarkStart w:id="24" w:name="_Toc509415421"/>
      <w:r w:rsidRPr="007D2C46">
        <w:rPr>
          <w:rFonts w:eastAsiaTheme="majorEastAsia" w:cstheme="majorBidi"/>
          <w:bCs/>
          <w:color w:val="000000" w:themeColor="text1"/>
          <w:sz w:val="24"/>
          <w:u w:val="single"/>
        </w:rPr>
        <w:lastRenderedPageBreak/>
        <w:t>Le budget annexe d’assainissement</w:t>
      </w:r>
      <w:bookmarkEnd w:id="24"/>
    </w:p>
    <w:p w:rsidR="007D2C46" w:rsidRPr="007D2C46" w:rsidRDefault="007D2C46" w:rsidP="007D2C46">
      <w:pPr>
        <w:jc w:val="left"/>
        <w:rPr>
          <w:rFonts w:cs="Tahoma"/>
        </w:rPr>
      </w:pPr>
    </w:p>
    <w:p w:rsidR="007D2C46" w:rsidRPr="007D2C46" w:rsidRDefault="007D2C46" w:rsidP="007D2C46">
      <w:pPr>
        <w:jc w:val="center"/>
        <w:rPr>
          <w:rFonts w:cs="Tahoma"/>
          <w:b/>
        </w:rPr>
      </w:pPr>
      <w:r w:rsidRPr="007D2C46">
        <w:rPr>
          <w:rFonts w:cs="Tahoma"/>
          <w:b/>
        </w:rPr>
        <w:t>Evolution des taux d’exécution</w:t>
      </w:r>
      <w:r w:rsidRPr="007D2C46">
        <w:rPr>
          <w:rFonts w:cs="Tahoma"/>
          <w:b/>
        </w:rPr>
        <w:br/>
        <w:t>des dépenses et recettes réelles d’exploitation</w:t>
      </w:r>
    </w:p>
    <w:p w:rsidR="007D2C46" w:rsidRPr="007D2C46" w:rsidRDefault="007D2C46" w:rsidP="007D2C46">
      <w:pPr>
        <w:jc w:val="center"/>
      </w:pPr>
      <w:r w:rsidRPr="007D2C46">
        <w:rPr>
          <w:noProof/>
          <w:lang w:eastAsia="fr-FR"/>
        </w:rPr>
        <w:drawing>
          <wp:inline distT="0" distB="0" distL="0" distR="0" wp14:anchorId="30D81506" wp14:editId="6CAB4B83">
            <wp:extent cx="5556250" cy="2941331"/>
            <wp:effectExtent l="0" t="0" r="635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t="4086"/>
                    <a:stretch/>
                  </pic:blipFill>
                  <pic:spPr bwMode="auto">
                    <a:xfrm>
                      <a:off x="0" y="0"/>
                      <a:ext cx="5559303" cy="2942947"/>
                    </a:xfrm>
                    <a:prstGeom prst="rect">
                      <a:avLst/>
                    </a:prstGeom>
                    <a:noFill/>
                    <a:ln>
                      <a:noFill/>
                    </a:ln>
                    <a:extLst>
                      <a:ext uri="{53640926-AAD7-44D8-BBD7-CCE9431645EC}">
                        <a14:shadowObscured xmlns:a14="http://schemas.microsoft.com/office/drawing/2010/main"/>
                      </a:ext>
                    </a:extLst>
                  </pic:spPr>
                </pic:pic>
              </a:graphicData>
            </a:graphic>
          </wp:inline>
        </w:drawing>
      </w:r>
    </w:p>
    <w:p w:rsidR="007D2C46" w:rsidRPr="007D2C46" w:rsidRDefault="007D2C46" w:rsidP="007D2C46">
      <w:pPr>
        <w:rPr>
          <w:rFonts w:cs="Tahoma"/>
        </w:rPr>
      </w:pPr>
      <w:r w:rsidRPr="007D2C46">
        <w:rPr>
          <w:rFonts w:cs="Tahoma"/>
        </w:rPr>
        <w:t xml:space="preserve">En 2017, le taux d’exécution des dépenses réelles d’exploitation (92,5%) s’élève à un niveau similaire à celui observé en 2015. L’année 2016 était en effet exceptionnelle en raison de la non-réalisation de la subvention versée pour le bassin de rétention de la Fontaine des </w:t>
      </w:r>
      <w:proofErr w:type="spellStart"/>
      <w:r w:rsidRPr="007D2C46">
        <w:rPr>
          <w:rFonts w:cs="Tahoma"/>
        </w:rPr>
        <w:t>Hanots</w:t>
      </w:r>
      <w:proofErr w:type="spellEnd"/>
      <w:r w:rsidRPr="007D2C46">
        <w:rPr>
          <w:rFonts w:cs="Tahoma"/>
        </w:rPr>
        <w:t xml:space="preserve"> (à hauteur de 1,4 M€), ce qui avait eu pour effet de diminuer le taux de réalisation à 68,5%. Une fois cet impact retraité, le taux s’élevait à 90,1%. </w:t>
      </w:r>
    </w:p>
    <w:p w:rsidR="007D2C46" w:rsidRPr="007D2C46" w:rsidRDefault="007D2C46" w:rsidP="007D2C46">
      <w:pPr>
        <w:rPr>
          <w:rFonts w:cs="Tahoma"/>
        </w:rPr>
      </w:pPr>
      <w:r w:rsidRPr="007D2C46">
        <w:rPr>
          <w:rFonts w:cs="Tahoma"/>
        </w:rPr>
        <w:t>Pour les recettes de fonctionnement, le taux d’exécution progresse légèrement par rapport à l’année précédente (101,8% contre 100,9% en 2016).</w:t>
      </w:r>
    </w:p>
    <w:p w:rsidR="007D2C46" w:rsidRPr="007D2C46" w:rsidRDefault="007D2C46" w:rsidP="007D2C46">
      <w:pPr>
        <w:rPr>
          <w:rFonts w:cs="Tahoma"/>
        </w:rPr>
      </w:pPr>
    </w:p>
    <w:p w:rsidR="007D2C46" w:rsidRPr="007D2C46" w:rsidRDefault="007D2C46" w:rsidP="007D2C46">
      <w:pPr>
        <w:jc w:val="center"/>
        <w:rPr>
          <w:rFonts w:cs="Tahoma"/>
          <w:b/>
        </w:rPr>
      </w:pPr>
      <w:r w:rsidRPr="007D2C46">
        <w:rPr>
          <w:rFonts w:cs="Tahoma"/>
          <w:b/>
        </w:rPr>
        <w:t>Evolution des taux d’exécution</w:t>
      </w:r>
      <w:r w:rsidRPr="007D2C46">
        <w:rPr>
          <w:rFonts w:cs="Tahoma"/>
          <w:b/>
        </w:rPr>
        <w:br/>
        <w:t>des dépenses et recettes réelles d’investissement</w:t>
      </w:r>
    </w:p>
    <w:p w:rsidR="007D2C46" w:rsidRPr="007D2C46" w:rsidRDefault="007D2C46" w:rsidP="007D2C46">
      <w:pPr>
        <w:jc w:val="center"/>
        <w:rPr>
          <w:rFonts w:eastAsiaTheme="majorEastAsia" w:cstheme="majorBidi"/>
          <w:bCs/>
          <w:color w:val="000000" w:themeColor="text1"/>
          <w:sz w:val="24"/>
          <w:u w:val="single"/>
        </w:rPr>
      </w:pPr>
      <w:r w:rsidRPr="007D2C46">
        <w:rPr>
          <w:rFonts w:eastAsiaTheme="majorEastAsia" w:cstheme="majorBidi"/>
          <w:bCs/>
          <w:noProof/>
          <w:color w:val="000000" w:themeColor="text1"/>
          <w:sz w:val="24"/>
          <w:lang w:eastAsia="fr-FR"/>
        </w:rPr>
        <w:drawing>
          <wp:inline distT="0" distB="0" distL="0" distR="0" wp14:anchorId="027CD39C" wp14:editId="09CEB442">
            <wp:extent cx="5321300" cy="2776729"/>
            <wp:effectExtent l="0" t="0" r="0" b="508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t="11461"/>
                    <a:stretch/>
                  </pic:blipFill>
                  <pic:spPr bwMode="auto">
                    <a:xfrm>
                      <a:off x="0" y="0"/>
                      <a:ext cx="5326217" cy="2779295"/>
                    </a:xfrm>
                    <a:prstGeom prst="rect">
                      <a:avLst/>
                    </a:prstGeom>
                    <a:noFill/>
                    <a:ln>
                      <a:noFill/>
                    </a:ln>
                    <a:extLst>
                      <a:ext uri="{53640926-AAD7-44D8-BBD7-CCE9431645EC}">
                        <a14:shadowObscured xmlns:a14="http://schemas.microsoft.com/office/drawing/2010/main"/>
                      </a:ext>
                    </a:extLst>
                  </pic:spPr>
                </pic:pic>
              </a:graphicData>
            </a:graphic>
          </wp:inline>
        </w:drawing>
      </w:r>
    </w:p>
    <w:p w:rsidR="007D2C46" w:rsidRPr="007D2C46" w:rsidRDefault="007D2C46" w:rsidP="007D2C46">
      <w:pPr>
        <w:jc w:val="center"/>
        <w:rPr>
          <w:rFonts w:eastAsiaTheme="majorEastAsia" w:cstheme="majorBidi"/>
          <w:bCs/>
          <w:color w:val="000000" w:themeColor="text1"/>
          <w:sz w:val="24"/>
          <w:u w:val="single"/>
        </w:rPr>
      </w:pPr>
    </w:p>
    <w:p w:rsidR="007D2C46" w:rsidRPr="007D2C46" w:rsidRDefault="007D2C46" w:rsidP="007D2C46">
      <w:pPr>
        <w:rPr>
          <w:rFonts w:cs="Tahoma"/>
          <w:b/>
        </w:rPr>
      </w:pPr>
      <w:r w:rsidRPr="007D2C46">
        <w:rPr>
          <w:rFonts w:cs="Tahoma"/>
        </w:rPr>
        <w:t>En investissement, le taux de réalisation des dépenses de 2017 (85,0%) est le plus élevé jamais constaté depuis 2012 : les réalisations s’élèvent en effet à plus de 14,0 M€ contre 10,4 M€ en 2016. En matière de recettes, le taux d’exécution s’établit à 90,2% en 2017.</w:t>
      </w:r>
      <w:r w:rsidRPr="007D2C46">
        <w:rPr>
          <w:rFonts w:cs="Tahoma"/>
          <w:b/>
        </w:rPr>
        <w:t xml:space="preserve"> </w:t>
      </w:r>
    </w:p>
    <w:p w:rsidR="00757823" w:rsidRPr="00757823" w:rsidRDefault="00757823" w:rsidP="00757823">
      <w:pPr>
        <w:pStyle w:val="Titre3"/>
      </w:pPr>
      <w:bookmarkStart w:id="25" w:name="_Toc509415422"/>
      <w:bookmarkEnd w:id="4"/>
      <w:r w:rsidRPr="00757823">
        <w:lastRenderedPageBreak/>
        <w:t>Le budget annexe des projets d’aménagement</w:t>
      </w:r>
      <w:bookmarkEnd w:id="25"/>
    </w:p>
    <w:p w:rsidR="000B1C53" w:rsidRDefault="000B1C53" w:rsidP="00BB432C"/>
    <w:p w:rsidR="001A3CDB" w:rsidRDefault="001A3CDB" w:rsidP="001A3CDB">
      <w:pPr>
        <w:jc w:val="center"/>
        <w:rPr>
          <w:rFonts w:cs="Tahoma"/>
          <w:b/>
        </w:rPr>
      </w:pPr>
      <w:r w:rsidRPr="004D6639">
        <w:rPr>
          <w:rFonts w:cs="Tahoma"/>
          <w:b/>
        </w:rPr>
        <w:t>Evolution des taux d’exécution</w:t>
      </w:r>
      <w:r w:rsidRPr="004D6639">
        <w:rPr>
          <w:rFonts w:cs="Tahoma"/>
          <w:b/>
        </w:rPr>
        <w:br/>
        <w:t xml:space="preserve">des dépenses et recettes réelles </w:t>
      </w:r>
      <w:r>
        <w:rPr>
          <w:rFonts w:cs="Tahoma"/>
          <w:b/>
        </w:rPr>
        <w:t>de fonctionnement</w:t>
      </w:r>
    </w:p>
    <w:p w:rsidR="001A3CDB" w:rsidRDefault="005D397A" w:rsidP="005D397A">
      <w:pPr>
        <w:jc w:val="center"/>
      </w:pPr>
      <w:r>
        <w:rPr>
          <w:noProof/>
          <w:lang w:eastAsia="fr-FR"/>
        </w:rPr>
        <w:drawing>
          <wp:inline distT="0" distB="0" distL="0" distR="0" wp14:anchorId="6E3F9D50">
            <wp:extent cx="6303645" cy="2743200"/>
            <wp:effectExtent l="0" t="0" r="190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303645" cy="2743200"/>
                    </a:xfrm>
                    <a:prstGeom prst="rect">
                      <a:avLst/>
                    </a:prstGeom>
                    <a:noFill/>
                  </pic:spPr>
                </pic:pic>
              </a:graphicData>
            </a:graphic>
          </wp:inline>
        </w:drawing>
      </w:r>
    </w:p>
    <w:p w:rsidR="00350266" w:rsidRDefault="00350266" w:rsidP="00350266">
      <w:r w:rsidRPr="005D397A">
        <w:t xml:space="preserve">En fonctionnement, </w:t>
      </w:r>
      <w:r w:rsidR="005D397A" w:rsidRPr="005D397A">
        <w:t>le</w:t>
      </w:r>
      <w:r w:rsidRPr="005D397A">
        <w:t xml:space="preserve"> taux de réalisation </w:t>
      </w:r>
      <w:r w:rsidR="005D397A" w:rsidRPr="005D397A">
        <w:t>s’élève à 69,5</w:t>
      </w:r>
      <w:r w:rsidRPr="005D397A">
        <w:t xml:space="preserve"> % </w:t>
      </w:r>
      <w:r w:rsidR="005D397A" w:rsidRPr="005D397A">
        <w:t>en</w:t>
      </w:r>
      <w:r w:rsidRPr="005D397A">
        <w:t xml:space="preserve"> dépenses</w:t>
      </w:r>
      <w:r w:rsidR="005D397A" w:rsidRPr="005D397A">
        <w:t xml:space="preserve"> (derniers mandats liés à l’achèvement de la ZAC des Lilas et charges de la dette)</w:t>
      </w:r>
      <w:r w:rsidRPr="005D397A">
        <w:t xml:space="preserve"> et</w:t>
      </w:r>
      <w:r w:rsidR="005D397A" w:rsidRPr="005D397A">
        <w:t xml:space="preserve"> à</w:t>
      </w:r>
      <w:r w:rsidRPr="005D397A">
        <w:t xml:space="preserve"> </w:t>
      </w:r>
      <w:r w:rsidR="005D397A" w:rsidRPr="005D397A">
        <w:t>99,7</w:t>
      </w:r>
      <w:r w:rsidRPr="005D397A">
        <w:t>%</w:t>
      </w:r>
      <w:r w:rsidR="005D397A" w:rsidRPr="005D397A">
        <w:t xml:space="preserve"> en recettes</w:t>
      </w:r>
      <w:r w:rsidRPr="005D397A">
        <w:t>.</w:t>
      </w:r>
    </w:p>
    <w:p w:rsidR="00350266" w:rsidRDefault="00350266" w:rsidP="00350266"/>
    <w:p w:rsidR="00105A17" w:rsidRDefault="00105A17" w:rsidP="00105A17">
      <w:pPr>
        <w:jc w:val="center"/>
        <w:rPr>
          <w:rFonts w:cs="Tahoma"/>
          <w:b/>
        </w:rPr>
      </w:pPr>
      <w:r w:rsidRPr="004D6639">
        <w:rPr>
          <w:rFonts w:cs="Tahoma"/>
          <w:b/>
        </w:rPr>
        <w:t>Evolution des taux d’exécution</w:t>
      </w:r>
      <w:r w:rsidRPr="004D6639">
        <w:rPr>
          <w:rFonts w:cs="Tahoma"/>
          <w:b/>
        </w:rPr>
        <w:br/>
        <w:t xml:space="preserve">des dépenses et recettes réelles </w:t>
      </w:r>
      <w:r>
        <w:rPr>
          <w:rFonts w:cs="Tahoma"/>
          <w:b/>
        </w:rPr>
        <w:t>d’investissement</w:t>
      </w:r>
    </w:p>
    <w:p w:rsidR="00105A17" w:rsidRDefault="005D397A" w:rsidP="007541CB">
      <w:pPr>
        <w:jc w:val="center"/>
      </w:pPr>
      <w:r>
        <w:rPr>
          <w:noProof/>
          <w:lang w:eastAsia="fr-FR"/>
        </w:rPr>
        <w:drawing>
          <wp:inline distT="0" distB="0" distL="0" distR="0" wp14:anchorId="26F5368B">
            <wp:extent cx="5895340" cy="274320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895340" cy="2743200"/>
                    </a:xfrm>
                    <a:prstGeom prst="rect">
                      <a:avLst/>
                    </a:prstGeom>
                    <a:noFill/>
                  </pic:spPr>
                </pic:pic>
              </a:graphicData>
            </a:graphic>
          </wp:inline>
        </w:drawing>
      </w:r>
    </w:p>
    <w:p w:rsidR="000D4F7B" w:rsidRDefault="00350266" w:rsidP="00350266">
      <w:r w:rsidRPr="00B31A57">
        <w:t xml:space="preserve">En investissement, le taux d’exécution des </w:t>
      </w:r>
      <w:r w:rsidR="005D397A" w:rsidRPr="00B31A57">
        <w:t>dépenses s’établit à 5</w:t>
      </w:r>
      <w:r w:rsidRPr="00B31A57">
        <w:t>6,</w:t>
      </w:r>
      <w:r w:rsidR="005D397A" w:rsidRPr="00B31A57">
        <w:t>5</w:t>
      </w:r>
      <w:r w:rsidRPr="00B31A57">
        <w:t>% en raison notamment de</w:t>
      </w:r>
      <w:r w:rsidR="000D4F7B">
        <w:t> l’absence de versement des participations relatives aux opérations suivantes :</w:t>
      </w:r>
    </w:p>
    <w:p w:rsidR="000D4F7B" w:rsidRDefault="000D4F7B" w:rsidP="000D4F7B">
      <w:pPr>
        <w:pStyle w:val="Paragraphedeliste"/>
        <w:numPr>
          <w:ilvl w:val="0"/>
          <w:numId w:val="35"/>
        </w:numPr>
      </w:pPr>
      <w:r w:rsidRPr="00B31A57">
        <w:t>ZAC Benoît Hure de Bagnolet</w:t>
      </w:r>
      <w:r>
        <w:t> :</w:t>
      </w:r>
      <w:r w:rsidRPr="00B31A57">
        <w:t xml:space="preserve"> </w:t>
      </w:r>
      <w:r w:rsidR="00350266" w:rsidRPr="00B31A57">
        <w:t xml:space="preserve">non </w:t>
      </w:r>
      <w:r w:rsidR="002A676B">
        <w:t>versement</w:t>
      </w:r>
      <w:r w:rsidR="00350266" w:rsidRPr="00B31A57">
        <w:t xml:space="preserve"> de</w:t>
      </w:r>
      <w:r w:rsidR="005D397A" w:rsidRPr="00B31A57">
        <w:t>s</w:t>
      </w:r>
      <w:r w:rsidR="00350266" w:rsidRPr="00B31A57">
        <w:t xml:space="preserve"> participation</w:t>
      </w:r>
      <w:r w:rsidR="005D397A" w:rsidRPr="00B31A57">
        <w:t>s</w:t>
      </w:r>
      <w:r w:rsidR="00350266" w:rsidRPr="00B31A57">
        <w:t xml:space="preserve"> à l’aménageur</w:t>
      </w:r>
      <w:r w:rsidR="005D397A" w:rsidRPr="00B31A57">
        <w:t xml:space="preserve"> et la ville</w:t>
      </w:r>
      <w:r w:rsidR="00350266" w:rsidRPr="00B31A57">
        <w:t xml:space="preserve"> </w:t>
      </w:r>
      <w:r w:rsidR="005D397A" w:rsidRPr="00B31A57">
        <w:t>(1,3</w:t>
      </w:r>
      <w:r>
        <w:t xml:space="preserve"> M€)</w:t>
      </w:r>
    </w:p>
    <w:p w:rsidR="00350266" w:rsidRPr="00B31A57" w:rsidRDefault="00B31A57" w:rsidP="000D4F7B">
      <w:pPr>
        <w:pStyle w:val="Paragraphedeliste"/>
        <w:numPr>
          <w:ilvl w:val="0"/>
          <w:numId w:val="35"/>
        </w:numPr>
      </w:pPr>
      <w:r w:rsidRPr="00B31A57">
        <w:t>ZAC Fraternité à Montreuil (3,25 M€)</w:t>
      </w:r>
      <w:r w:rsidR="000D4F7B">
        <w:t xml:space="preserve"> : </w:t>
      </w:r>
      <w:r w:rsidR="002A676B">
        <w:t>la participation n’a pas été</w:t>
      </w:r>
      <w:r w:rsidRPr="00B31A57">
        <w:t xml:space="preserve"> appelée par l’aménageur en raison des décalages opérationnels</w:t>
      </w:r>
      <w:r w:rsidR="00350266" w:rsidRPr="00B31A57">
        <w:t>.</w:t>
      </w:r>
    </w:p>
    <w:p w:rsidR="00350266" w:rsidRDefault="00350266" w:rsidP="00350266">
      <w:r w:rsidRPr="00B31A57">
        <w:t xml:space="preserve">En recettes, le taux de réalisation s’élève à </w:t>
      </w:r>
      <w:r w:rsidR="005D397A" w:rsidRPr="00B31A57">
        <w:t>37,1</w:t>
      </w:r>
      <w:r w:rsidR="00B31A57">
        <w:t xml:space="preserve">%, </w:t>
      </w:r>
      <w:r w:rsidR="00B31A57" w:rsidRPr="00B31A57">
        <w:t xml:space="preserve">l’EPT n’ayant </w:t>
      </w:r>
      <w:r w:rsidR="00B31A57">
        <w:t xml:space="preserve">notamment </w:t>
      </w:r>
      <w:r w:rsidR="00B31A57" w:rsidRPr="00B31A57">
        <w:t>pas sollicité la participation de la ville de Montreuil pour la ZAC de la Fraternité</w:t>
      </w:r>
      <w:r w:rsidR="00371474" w:rsidRPr="00B31A57">
        <w:t>.</w:t>
      </w:r>
    </w:p>
    <w:p w:rsidR="00350266" w:rsidRDefault="00350266">
      <w:pPr>
        <w:jc w:val="left"/>
      </w:pPr>
      <w:r>
        <w:br w:type="page"/>
      </w:r>
    </w:p>
    <w:p w:rsidR="000B1C53" w:rsidRDefault="000B1C53" w:rsidP="00902FEA">
      <w:pPr>
        <w:pStyle w:val="Titre2"/>
      </w:pPr>
      <w:bookmarkStart w:id="26" w:name="_Toc509490433"/>
      <w:r>
        <w:lastRenderedPageBreak/>
        <w:t>La situation financière fin 201</w:t>
      </w:r>
      <w:r w:rsidR="00D4419B">
        <w:t>7</w:t>
      </w:r>
      <w:bookmarkEnd w:id="26"/>
    </w:p>
    <w:p w:rsidR="00105A17" w:rsidRDefault="00105A17" w:rsidP="007541CB"/>
    <w:p w:rsidR="000B1C53" w:rsidRDefault="00E66491" w:rsidP="007541CB">
      <w:pPr>
        <w:jc w:val="center"/>
        <w:rPr>
          <w:rFonts w:cs="Tahoma"/>
          <w:b/>
        </w:rPr>
      </w:pPr>
      <w:r w:rsidRPr="007541CB">
        <w:rPr>
          <w:rFonts w:cs="Tahoma"/>
          <w:b/>
        </w:rPr>
        <w:t>Evolution de l’épargne brute du budget principal</w:t>
      </w:r>
      <w:r w:rsidR="00D4419B">
        <w:rPr>
          <w:rFonts w:cs="Tahoma"/>
          <w:b/>
        </w:rPr>
        <w:t xml:space="preserve"> et du budget aménagement consolidés</w:t>
      </w:r>
    </w:p>
    <w:p w:rsidR="00021719" w:rsidRPr="007541CB" w:rsidRDefault="00021719" w:rsidP="007541CB">
      <w:pPr>
        <w:jc w:val="center"/>
        <w:rPr>
          <w:rFonts w:cs="Tahoma"/>
          <w:b/>
        </w:rPr>
      </w:pPr>
    </w:p>
    <w:p w:rsidR="00E66491" w:rsidRDefault="008014C2" w:rsidP="007541CB">
      <w:pPr>
        <w:jc w:val="center"/>
        <w:rPr>
          <w:rFonts w:cs="Tahoma"/>
        </w:rPr>
      </w:pPr>
      <w:r>
        <w:rPr>
          <w:rFonts w:cs="Tahoma"/>
          <w:noProof/>
          <w:lang w:eastAsia="fr-FR"/>
        </w:rPr>
        <w:drawing>
          <wp:inline distT="0" distB="0" distL="0" distR="0" wp14:anchorId="17899F48">
            <wp:extent cx="5499100" cy="3320207"/>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l="5203"/>
                    <a:stretch/>
                  </pic:blipFill>
                  <pic:spPr bwMode="auto">
                    <a:xfrm>
                      <a:off x="0" y="0"/>
                      <a:ext cx="5510406" cy="3327033"/>
                    </a:xfrm>
                    <a:prstGeom prst="rect">
                      <a:avLst/>
                    </a:prstGeom>
                    <a:noFill/>
                    <a:ln>
                      <a:noFill/>
                    </a:ln>
                    <a:extLst>
                      <a:ext uri="{53640926-AAD7-44D8-BBD7-CCE9431645EC}">
                        <a14:shadowObscured xmlns:a14="http://schemas.microsoft.com/office/drawing/2010/main"/>
                      </a:ext>
                    </a:extLst>
                  </pic:spPr>
                </pic:pic>
              </a:graphicData>
            </a:graphic>
          </wp:inline>
        </w:drawing>
      </w:r>
    </w:p>
    <w:p w:rsidR="00D4419B" w:rsidRPr="001B24FB" w:rsidRDefault="00021719" w:rsidP="004C7391">
      <w:pPr>
        <w:rPr>
          <w:rFonts w:cs="Tahoma"/>
        </w:rPr>
      </w:pPr>
      <w:r w:rsidRPr="004C7391">
        <w:rPr>
          <w:b/>
        </w:rPr>
        <w:t>L’éparg</w:t>
      </w:r>
      <w:r w:rsidR="00D4419B" w:rsidRPr="004C7391">
        <w:rPr>
          <w:b/>
        </w:rPr>
        <w:t>ne brute des budgets principal et aménagement consolidés (20,7</w:t>
      </w:r>
      <w:r w:rsidRPr="004C7391">
        <w:rPr>
          <w:b/>
        </w:rPr>
        <w:t xml:space="preserve"> M€)</w:t>
      </w:r>
      <w:r w:rsidRPr="004C7391">
        <w:t xml:space="preserve"> enregistre à </w:t>
      </w:r>
      <w:r w:rsidR="00D4419B" w:rsidRPr="004C7391">
        <w:t>nouveau une forte croissance (+6,3</w:t>
      </w:r>
      <w:r w:rsidRPr="004C7391">
        <w:t>M€) entre 201</w:t>
      </w:r>
      <w:r w:rsidR="00D4419B" w:rsidRPr="004C7391">
        <w:t>6</w:t>
      </w:r>
      <w:r w:rsidRPr="004C7391">
        <w:t xml:space="preserve"> et 201</w:t>
      </w:r>
      <w:r w:rsidR="00D4419B" w:rsidRPr="004C7391">
        <w:t>7</w:t>
      </w:r>
      <w:r w:rsidRPr="004C7391">
        <w:t xml:space="preserve">, et atteint </w:t>
      </w:r>
      <w:r w:rsidR="00D4419B" w:rsidRPr="004C7391">
        <w:t>son niveau le plus haut depuis 2012</w:t>
      </w:r>
      <w:r w:rsidRPr="004C7391">
        <w:t xml:space="preserve">. </w:t>
      </w:r>
      <w:r w:rsidR="00D4419B" w:rsidRPr="004C7391">
        <w:t>Cette évolution s’explique en grande partie par la perception de recettes exceptionnelles et non récurrentes en 2017</w:t>
      </w:r>
      <w:r w:rsidR="004C7391" w:rsidRPr="004C7391">
        <w:t xml:space="preserve"> </w:t>
      </w:r>
      <w:r w:rsidR="00D4419B" w:rsidRPr="004C7391">
        <w:t>(</w:t>
      </w:r>
      <w:r w:rsidR="00D4419B" w:rsidRPr="004C7391">
        <w:rPr>
          <w:rFonts w:cs="Tahoma"/>
        </w:rPr>
        <w:t>3,5 M€ de rôles supplémentaires sur la fiscalité titrés en 2017</w:t>
      </w:r>
      <w:r w:rsidR="004C7391" w:rsidRPr="004C7391">
        <w:rPr>
          <w:rFonts w:cs="Tahoma"/>
        </w:rPr>
        <w:t xml:space="preserve"> et </w:t>
      </w:r>
      <w:r w:rsidR="00D4419B" w:rsidRPr="004C7391">
        <w:rPr>
          <w:rFonts w:cs="Tahoma"/>
        </w:rPr>
        <w:t>3,1 M€ d’autres recettes exceptionnelles</w:t>
      </w:r>
      <w:r w:rsidR="004C7391" w:rsidRPr="004C7391">
        <w:rPr>
          <w:rFonts w:cs="Tahoma"/>
        </w:rPr>
        <w:t>)</w:t>
      </w:r>
      <w:r w:rsidR="00D4419B" w:rsidRPr="004C7391">
        <w:rPr>
          <w:rFonts w:cs="Tahoma"/>
        </w:rPr>
        <w:t>.</w:t>
      </w:r>
    </w:p>
    <w:p w:rsidR="004C7391" w:rsidRDefault="004C7391" w:rsidP="004C7391">
      <w:pPr>
        <w:rPr>
          <w:highlight w:val="yellow"/>
        </w:rPr>
      </w:pPr>
    </w:p>
    <w:p w:rsidR="004C7391" w:rsidRDefault="004C7391" w:rsidP="004C7391">
      <w:r w:rsidRPr="004C7391">
        <w:t>Ce niveau d’épargne dégagé en 2017 est donc loin d’être disproportionné par rapport aux besoins puisque le taux d’épargne brute reste inférieur à 8,0%, alors qu’en moyenne, le taux d’épargne brute des métropoles (strate intégrant notamment les EPT) s’élevait à 18,9% en 2016</w:t>
      </w:r>
      <w:r w:rsidRPr="004C7391">
        <w:rPr>
          <w:rStyle w:val="Appelnotedebasdep"/>
        </w:rPr>
        <w:footnoteReference w:id="1"/>
      </w:r>
      <w:r w:rsidRPr="004C7391">
        <w:t>.</w:t>
      </w:r>
    </w:p>
    <w:p w:rsidR="00021719" w:rsidRPr="008014C2" w:rsidRDefault="00021719" w:rsidP="00021719">
      <w:pPr>
        <w:rPr>
          <w:highlight w:val="yellow"/>
        </w:rPr>
      </w:pPr>
    </w:p>
    <w:p w:rsidR="00021719" w:rsidRPr="004C7391" w:rsidRDefault="00021719" w:rsidP="00021719">
      <w:r w:rsidRPr="004C7391">
        <w:t xml:space="preserve">L’excédent ainsi dégagé en fonctionnement constitue le </w:t>
      </w:r>
      <w:r w:rsidRPr="004C7391">
        <w:rPr>
          <w:b/>
        </w:rPr>
        <w:t>premier levier pour assurer la réalisation d’un programme d’investissement</w:t>
      </w:r>
      <w:r w:rsidRPr="004C7391">
        <w:t xml:space="preserve"> qui demeure très conséquent, et ce d’autant plus que l’épargne du budget principal doit également couvrir les besoins du budget annexe des projets d’aménagement. </w:t>
      </w:r>
    </w:p>
    <w:p w:rsidR="00021719" w:rsidRPr="008014C2" w:rsidRDefault="00021719" w:rsidP="00021719">
      <w:pPr>
        <w:rPr>
          <w:highlight w:val="yellow"/>
        </w:rPr>
      </w:pPr>
    </w:p>
    <w:p w:rsidR="00085BB7" w:rsidRDefault="00085BB7" w:rsidP="00021719">
      <w:pPr>
        <w:rPr>
          <w:rFonts w:cs="Tahoma"/>
        </w:rPr>
      </w:pPr>
    </w:p>
    <w:p w:rsidR="00021719" w:rsidRDefault="00021719">
      <w:pPr>
        <w:jc w:val="left"/>
        <w:rPr>
          <w:rFonts w:cs="Tahoma"/>
          <w:b/>
        </w:rPr>
      </w:pPr>
      <w:r>
        <w:rPr>
          <w:rFonts w:cs="Tahoma"/>
          <w:b/>
        </w:rPr>
        <w:br w:type="page"/>
      </w:r>
    </w:p>
    <w:p w:rsidR="00021719" w:rsidRPr="007541CB" w:rsidRDefault="00021719" w:rsidP="00021719">
      <w:pPr>
        <w:jc w:val="center"/>
        <w:rPr>
          <w:rFonts w:cs="Tahoma"/>
          <w:b/>
        </w:rPr>
      </w:pPr>
      <w:r w:rsidRPr="007541CB">
        <w:rPr>
          <w:rFonts w:cs="Tahoma"/>
          <w:b/>
        </w:rPr>
        <w:lastRenderedPageBreak/>
        <w:t xml:space="preserve">Evolution de l’épargne brute du budget </w:t>
      </w:r>
      <w:r>
        <w:rPr>
          <w:rFonts w:cs="Tahoma"/>
          <w:b/>
        </w:rPr>
        <w:t>assainissement</w:t>
      </w:r>
    </w:p>
    <w:p w:rsidR="000B1C53" w:rsidRDefault="008014C2" w:rsidP="007541CB">
      <w:pPr>
        <w:jc w:val="center"/>
        <w:rPr>
          <w:rFonts w:cs="Tahoma"/>
        </w:rPr>
      </w:pPr>
      <w:bookmarkStart w:id="27" w:name="_Toc442390187"/>
      <w:r>
        <w:rPr>
          <w:rFonts w:cs="Tahoma"/>
          <w:noProof/>
          <w:lang w:eastAsia="fr-FR"/>
        </w:rPr>
        <w:drawing>
          <wp:inline distT="0" distB="0" distL="0" distR="0" wp14:anchorId="26782484" wp14:editId="6A1DAAED">
            <wp:extent cx="5720605" cy="3308350"/>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l="5848"/>
                    <a:stretch/>
                  </pic:blipFill>
                  <pic:spPr bwMode="auto">
                    <a:xfrm>
                      <a:off x="0" y="0"/>
                      <a:ext cx="5728280" cy="3312788"/>
                    </a:xfrm>
                    <a:prstGeom prst="rect">
                      <a:avLst/>
                    </a:prstGeom>
                    <a:noFill/>
                    <a:ln>
                      <a:noFill/>
                    </a:ln>
                    <a:extLst>
                      <a:ext uri="{53640926-AAD7-44D8-BBD7-CCE9431645EC}">
                        <a14:shadowObscured xmlns:a14="http://schemas.microsoft.com/office/drawing/2010/main"/>
                      </a:ext>
                    </a:extLst>
                  </pic:spPr>
                </pic:pic>
              </a:graphicData>
            </a:graphic>
          </wp:inline>
        </w:drawing>
      </w:r>
    </w:p>
    <w:p w:rsidR="00021719" w:rsidRDefault="00021719" w:rsidP="00021719">
      <w:pPr>
        <w:rPr>
          <w:rFonts w:cs="Tahoma"/>
        </w:rPr>
      </w:pPr>
      <w:r w:rsidRPr="004C7391">
        <w:rPr>
          <w:rFonts w:cs="Tahoma"/>
        </w:rPr>
        <w:t xml:space="preserve">L’épargne brute du budget assainissement </w:t>
      </w:r>
      <w:r w:rsidR="004C7391" w:rsidRPr="004C7391">
        <w:rPr>
          <w:rFonts w:cs="Tahoma"/>
        </w:rPr>
        <w:t>diminue mais conserve un niveau satisfaisant : 44,5%</w:t>
      </w:r>
      <w:r w:rsidRPr="004C7391">
        <w:rPr>
          <w:rFonts w:cs="Tahoma"/>
        </w:rPr>
        <w:t xml:space="preserve"> </w:t>
      </w:r>
      <w:r w:rsidR="004C7391" w:rsidRPr="004C7391">
        <w:rPr>
          <w:rFonts w:cs="Tahoma"/>
        </w:rPr>
        <w:t xml:space="preserve">des ressources de la section d’exploitation ont ainsi été </w:t>
      </w:r>
      <w:r w:rsidR="004C7391">
        <w:rPr>
          <w:rFonts w:cs="Tahoma"/>
        </w:rPr>
        <w:t>consacrées à</w:t>
      </w:r>
      <w:r w:rsidR="004C7391" w:rsidRPr="004C7391">
        <w:rPr>
          <w:rFonts w:cs="Tahoma"/>
        </w:rPr>
        <w:t xml:space="preserve"> </w:t>
      </w:r>
      <w:r w:rsidR="004C7391">
        <w:rPr>
          <w:rFonts w:cs="Tahoma"/>
        </w:rPr>
        <w:t>l’</w:t>
      </w:r>
      <w:r w:rsidR="004C7391" w:rsidRPr="004C7391">
        <w:rPr>
          <w:rFonts w:cs="Tahoma"/>
        </w:rPr>
        <w:t>autofinancement des investissements</w:t>
      </w:r>
      <w:r w:rsidRPr="004C7391">
        <w:rPr>
          <w:rFonts w:cs="Tahoma"/>
        </w:rPr>
        <w:t>.</w:t>
      </w:r>
    </w:p>
    <w:p w:rsidR="00021719" w:rsidRDefault="00021719" w:rsidP="00021719">
      <w:pPr>
        <w:rPr>
          <w:rFonts w:cs="Tahoma"/>
        </w:rPr>
      </w:pPr>
    </w:p>
    <w:p w:rsidR="00021719" w:rsidRPr="007541CB" w:rsidRDefault="00021719" w:rsidP="00021719">
      <w:pPr>
        <w:jc w:val="center"/>
        <w:rPr>
          <w:b/>
        </w:rPr>
      </w:pPr>
      <w:r w:rsidRPr="007541CB">
        <w:rPr>
          <w:b/>
        </w:rPr>
        <w:t>Evolution de la capacité de désendettement d’Est Ensemble</w:t>
      </w:r>
      <w:r w:rsidR="008014C2">
        <w:rPr>
          <w:b/>
        </w:rPr>
        <w:t xml:space="preserve"> (en années)</w:t>
      </w:r>
    </w:p>
    <w:p w:rsidR="00021719" w:rsidRDefault="008014C2" w:rsidP="00021719">
      <w:pPr>
        <w:jc w:val="center"/>
        <w:rPr>
          <w:highlight w:val="yellow"/>
        </w:rPr>
      </w:pPr>
      <w:r>
        <w:rPr>
          <w:noProof/>
          <w:lang w:eastAsia="fr-FR"/>
        </w:rPr>
        <w:drawing>
          <wp:inline distT="0" distB="0" distL="0" distR="0" wp14:anchorId="0F33312C" wp14:editId="39F22E1D">
            <wp:extent cx="5362301" cy="33591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a:extLst>
                        <a:ext uri="{28A0092B-C50C-407E-A947-70E740481C1C}">
                          <a14:useLocalDpi xmlns:a14="http://schemas.microsoft.com/office/drawing/2010/main" val="0"/>
                        </a:ext>
                      </a:extLst>
                    </a:blip>
                    <a:srcRect l="3221"/>
                    <a:stretch/>
                  </pic:blipFill>
                  <pic:spPr bwMode="auto">
                    <a:xfrm>
                      <a:off x="0" y="0"/>
                      <a:ext cx="5365259" cy="3361003"/>
                    </a:xfrm>
                    <a:prstGeom prst="rect">
                      <a:avLst/>
                    </a:prstGeom>
                    <a:noFill/>
                    <a:ln>
                      <a:noFill/>
                    </a:ln>
                    <a:extLst>
                      <a:ext uri="{53640926-AAD7-44D8-BBD7-CCE9431645EC}">
                        <a14:shadowObscured xmlns:a14="http://schemas.microsoft.com/office/drawing/2010/main"/>
                      </a:ext>
                    </a:extLst>
                  </pic:spPr>
                </pic:pic>
              </a:graphicData>
            </a:graphic>
          </wp:inline>
        </w:drawing>
      </w:r>
    </w:p>
    <w:p w:rsidR="001E7692" w:rsidRPr="001E7692" w:rsidRDefault="00A6387C" w:rsidP="00A6387C">
      <w:r w:rsidRPr="001E7692">
        <w:t xml:space="preserve">La capacité de désendettement mesure le nombre d’années nécessaires pour rembourser la totalité de l’encours de la dette en y consacrant l’intégralité de son épargne brute. Cet indicateur théorique permet notamment d’apprécier la soutenabilité du recours à l’emprunt pour réaliser un programme d’investissement. </w:t>
      </w:r>
    </w:p>
    <w:p w:rsidR="00845EC6" w:rsidRDefault="001E7692" w:rsidP="001E7692">
      <w:pPr>
        <w:rPr>
          <w:rFonts w:eastAsiaTheme="majorEastAsia" w:cs="Tahoma"/>
          <w:b/>
          <w:bCs/>
          <w:color w:val="CE003C"/>
          <w:sz w:val="28"/>
          <w:szCs w:val="28"/>
        </w:rPr>
      </w:pPr>
      <w:r w:rsidRPr="001E7692">
        <w:t xml:space="preserve">Malgré la progression de l’encours de dette du budget principal et du budget aménagement, on observe une diminution de la capacité de désendettement en raison de la progression de l’épargne brute. </w:t>
      </w:r>
      <w:r w:rsidR="00A6387C" w:rsidRPr="001E7692">
        <w:t>Concernant le budget annexe assainissement, la capac</w:t>
      </w:r>
      <w:r w:rsidRPr="001E7692">
        <w:t>ité de désendettement poursuit progresse légèrement et atteint 3,0 ans, soit, un niveau tout à fait satisfaisant</w:t>
      </w:r>
      <w:r w:rsidR="00A6387C" w:rsidRPr="001E7692">
        <w:t xml:space="preserve">. </w:t>
      </w:r>
      <w:r w:rsidR="00845EC6">
        <w:rPr>
          <w:rFonts w:cs="Tahoma"/>
        </w:rPr>
        <w:br w:type="page"/>
      </w:r>
    </w:p>
    <w:p w:rsidR="00C32D91" w:rsidRDefault="00C32D91" w:rsidP="00C32D91">
      <w:pPr>
        <w:pStyle w:val="Titre1"/>
        <w:rPr>
          <w:rFonts w:cs="Tahoma"/>
        </w:rPr>
      </w:pPr>
      <w:bookmarkStart w:id="28" w:name="_Toc509490434"/>
      <w:r w:rsidRPr="004D406F">
        <w:rPr>
          <w:rFonts w:cs="Tahoma"/>
        </w:rPr>
        <w:lastRenderedPageBreak/>
        <w:t>II.</w:t>
      </w:r>
      <w:r w:rsidRPr="004D406F">
        <w:rPr>
          <w:rFonts w:cs="Tahoma"/>
        </w:rPr>
        <w:tab/>
      </w:r>
      <w:bookmarkEnd w:id="27"/>
      <w:r w:rsidR="000B1C53">
        <w:rPr>
          <w:rFonts w:cs="Tahoma"/>
        </w:rPr>
        <w:t>LE BUDGET PRINCIPAL</w:t>
      </w:r>
      <w:bookmarkEnd w:id="28"/>
    </w:p>
    <w:p w:rsidR="00C32D91" w:rsidRPr="0058672A" w:rsidRDefault="000B1C53" w:rsidP="009E6A42">
      <w:pPr>
        <w:pStyle w:val="Titre2"/>
        <w:numPr>
          <w:ilvl w:val="0"/>
          <w:numId w:val="22"/>
        </w:numPr>
      </w:pPr>
      <w:bookmarkStart w:id="29" w:name="_Toc509490435"/>
      <w:r w:rsidRPr="0058672A">
        <w:t>Le fonctionnement</w:t>
      </w:r>
      <w:bookmarkEnd w:id="29"/>
    </w:p>
    <w:p w:rsidR="00067AA5" w:rsidRDefault="00AD2362" w:rsidP="009E6A42">
      <w:pPr>
        <w:pStyle w:val="Titre3"/>
        <w:numPr>
          <w:ilvl w:val="0"/>
          <w:numId w:val="18"/>
        </w:numPr>
        <w:jc w:val="left"/>
      </w:pPr>
      <w:bookmarkStart w:id="30" w:name="_Toc509490436"/>
      <w:r>
        <w:t xml:space="preserve">Les </w:t>
      </w:r>
      <w:r w:rsidR="008C68B5">
        <w:t>recettes</w:t>
      </w:r>
      <w:r w:rsidR="000B1C53">
        <w:t xml:space="preserve"> </w:t>
      </w:r>
      <w:r>
        <w:t xml:space="preserve">réelles </w:t>
      </w:r>
      <w:r w:rsidR="000B1C53">
        <w:t>de la section de fonctionnement</w:t>
      </w:r>
      <w:bookmarkEnd w:id="30"/>
    </w:p>
    <w:p w:rsidR="009B48CB" w:rsidRDefault="009B48CB" w:rsidP="007541CB"/>
    <w:p w:rsidR="008711AE" w:rsidRDefault="001E7692" w:rsidP="007541CB">
      <w:r w:rsidRPr="001E7692">
        <w:t>Entre 2016</w:t>
      </w:r>
      <w:r w:rsidR="002F563D" w:rsidRPr="001E7692">
        <w:t xml:space="preserve"> et 201</w:t>
      </w:r>
      <w:r w:rsidRPr="001E7692">
        <w:t>7</w:t>
      </w:r>
      <w:r w:rsidR="002F563D" w:rsidRPr="001E7692">
        <w:t>, les recettes de la section de fonctionnement ont enregistré</w:t>
      </w:r>
      <w:r w:rsidRPr="001E7692">
        <w:t xml:space="preserve"> une croissance de +3,6%, soit +9,2 M€</w:t>
      </w:r>
      <w:r w:rsidR="002F563D" w:rsidRPr="001E7692">
        <w:t>.</w:t>
      </w:r>
      <w:r>
        <w:t xml:space="preserve"> Comme cela a déjà été indiqué, cette croissance s’explique notamment par la forte progression des recettes exceptionnelles et des rôles supplémentaires. Sans cela, les recettes n’auraient progressé que de 5,2 M€, soit +2,0 %. L’année 2017 est également marquée par le dynamisme des recettes fiscales récurrentes :</w:t>
      </w:r>
      <w:r w:rsidR="004962D7">
        <w:t xml:space="preserve"> +1,6 M€ sur le produit de CFE et +0,8 M€ sur le produit de TEOM. Ces progressions s’expliquent exclusivement par la croissance des bases fiscales, l’EPT n’ayant pas augmenté ses taux en 2017.</w:t>
      </w:r>
    </w:p>
    <w:p w:rsidR="002F563D" w:rsidRPr="000F453C" w:rsidRDefault="002F563D" w:rsidP="007541CB"/>
    <w:p w:rsidR="005D5A95" w:rsidRDefault="006B1CA1" w:rsidP="005D5A95">
      <w:pPr>
        <w:jc w:val="center"/>
        <w:rPr>
          <w:rFonts w:cs="Tahoma"/>
          <w:b/>
        </w:rPr>
      </w:pPr>
      <w:r w:rsidRPr="002F563D">
        <w:rPr>
          <w:noProof/>
          <w:lang w:eastAsia="fr-FR"/>
        </w:rPr>
        <mc:AlternateContent>
          <mc:Choice Requires="wps">
            <w:drawing>
              <wp:anchor distT="0" distB="0" distL="114300" distR="114300" simplePos="0" relativeHeight="251672576" behindDoc="0" locked="0" layoutInCell="1" allowOverlap="1" wp14:anchorId="1C1892CC" wp14:editId="75C464F0">
                <wp:simplePos x="0" y="0"/>
                <wp:positionH relativeFrom="column">
                  <wp:posOffset>1000760</wp:posOffset>
                </wp:positionH>
                <wp:positionV relativeFrom="paragraph">
                  <wp:posOffset>407670</wp:posOffset>
                </wp:positionV>
                <wp:extent cx="866775" cy="238125"/>
                <wp:effectExtent l="0" t="0" r="0" b="0"/>
                <wp:wrapNone/>
                <wp:docPr id="19" name="Zone de texte 1"/>
                <wp:cNvGraphicFramePr/>
                <a:graphic xmlns:a="http://schemas.openxmlformats.org/drawingml/2006/main">
                  <a:graphicData uri="http://schemas.microsoft.com/office/word/2010/wordprocessingShape">
                    <wps:wsp>
                      <wps:cNvSpPr txBox="1"/>
                      <wps:spPr>
                        <a:xfrm>
                          <a:off x="0" y="0"/>
                          <a:ext cx="866775" cy="238125"/>
                        </a:xfrm>
                        <a:prstGeom prst="rect">
                          <a:avLst/>
                        </a:prstGeom>
                      </wps:spPr>
                      <wps:txbx>
                        <w:txbxContent>
                          <w:p w:rsidR="00C7509A" w:rsidRPr="006B1CA1" w:rsidRDefault="00C7509A" w:rsidP="006B1CA1">
                            <w:pPr>
                              <w:pStyle w:val="NormalWeb"/>
                              <w:spacing w:before="0" w:beforeAutospacing="0" w:after="0" w:afterAutospacing="0"/>
                              <w:rPr>
                                <w:rFonts w:ascii="Garamond" w:hAnsi="Garamond"/>
                              </w:rPr>
                            </w:pPr>
                            <w:r w:rsidRPr="006B1CA1">
                              <w:rPr>
                                <w:rFonts w:ascii="Garamond" w:hAnsi="Garamond" w:cstheme="minorBidi"/>
                                <w:b/>
                                <w:bCs/>
                                <w:sz w:val="22"/>
                                <w:szCs w:val="22"/>
                              </w:rPr>
                              <w:t>255,4 M€</w:t>
                            </w:r>
                          </w:p>
                        </w:txbxContent>
                      </wps:txbx>
                      <wps:bodyPr vertOverflow="clip" wrap="square" rtlCol="0"/>
                    </wps:wsp>
                  </a:graphicData>
                </a:graphic>
              </wp:anchor>
            </w:drawing>
          </mc:Choice>
          <mc:Fallback>
            <w:pict>
              <v:shape id="Zone de texte 1" o:spid="_x0000_s1027" type="#_x0000_t202" style="position:absolute;left:0;text-align:left;margin-left:78.8pt;margin-top:32.1pt;width:68.25pt;height:18.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" filled="f" stroked="f">
                <v:textbox>
                  <w:txbxContent>
                    <w:p w:rsidR="00C7509A" w:rsidRPr="006B1CA1" w:rsidRDefault="00C7509A" w:rsidP="006B1CA1">
                      <w:pPr>
                        <w:pStyle w:val="NormalWeb"/>
                        <w:spacing w:before="0" w:beforeAutospacing="0" w:after="0" w:afterAutospacing="0"/>
                        <w:rPr>
                          <w:rFonts w:ascii="Garamond" w:hAnsi="Garamond"/>
                        </w:rPr>
                      </w:pPr>
                      <w:r w:rsidRPr="006B1CA1">
                        <w:rPr>
                          <w:rFonts w:ascii="Garamond" w:hAnsi="Garamond" w:cstheme="minorBidi"/>
                          <w:b/>
                          <w:bCs/>
                          <w:sz w:val="22"/>
                          <w:szCs w:val="22"/>
                        </w:rPr>
                        <w:t>255,4 M€</w:t>
                      </w:r>
                    </w:p>
                  </w:txbxContent>
                </v:textbox>
              </v:shape>
            </w:pict>
          </mc:Fallback>
        </mc:AlternateContent>
      </w:r>
      <w:r w:rsidR="002F563D" w:rsidRPr="002F563D">
        <w:rPr>
          <w:noProof/>
          <w:lang w:eastAsia="fr-FR"/>
        </w:rPr>
        <mc:AlternateContent>
          <mc:Choice Requires="wps">
            <w:drawing>
              <wp:anchor distT="0" distB="0" distL="114300" distR="114300" simplePos="0" relativeHeight="251665408" behindDoc="0" locked="0" layoutInCell="1" allowOverlap="1" wp14:anchorId="4173C4B4" wp14:editId="114DF64D">
                <wp:simplePos x="0" y="0"/>
                <wp:positionH relativeFrom="column">
                  <wp:posOffset>2734310</wp:posOffset>
                </wp:positionH>
                <wp:positionV relativeFrom="paragraph">
                  <wp:posOffset>344170</wp:posOffset>
                </wp:positionV>
                <wp:extent cx="866775" cy="238125"/>
                <wp:effectExtent l="0" t="0" r="0" b="0"/>
                <wp:wrapNone/>
                <wp:docPr id="6" name="Zone de texte 1"/>
                <wp:cNvGraphicFramePr/>
                <a:graphic xmlns:a="http://schemas.openxmlformats.org/drawingml/2006/main">
                  <a:graphicData uri="http://schemas.microsoft.com/office/word/2010/wordprocessingShape">
                    <wps:wsp>
                      <wps:cNvSpPr txBox="1"/>
                      <wps:spPr>
                        <a:xfrm>
                          <a:off x="0" y="0"/>
                          <a:ext cx="866775" cy="238125"/>
                        </a:xfrm>
                        <a:prstGeom prst="rect">
                          <a:avLst/>
                        </a:prstGeom>
                      </wps:spPr>
                      <wps:txbx>
                        <w:txbxContent>
                          <w:p w:rsidR="00C7509A" w:rsidRPr="006B1CA1" w:rsidRDefault="00C7509A" w:rsidP="002F563D">
                            <w:pPr>
                              <w:pStyle w:val="NormalWeb"/>
                              <w:spacing w:before="0" w:beforeAutospacing="0" w:after="0" w:afterAutospacing="0"/>
                              <w:rPr>
                                <w:rFonts w:ascii="Garamond" w:hAnsi="Garamond"/>
                              </w:rPr>
                            </w:pPr>
                            <w:r>
                              <w:rPr>
                                <w:rFonts w:ascii="Garamond" w:hAnsi="Garamond" w:cstheme="minorBidi"/>
                                <w:b/>
                                <w:bCs/>
                                <w:sz w:val="22"/>
                                <w:szCs w:val="22"/>
                              </w:rPr>
                              <w:t>264,6</w:t>
                            </w:r>
                            <w:r w:rsidRPr="006B1CA1">
                              <w:rPr>
                                <w:rFonts w:ascii="Garamond" w:hAnsi="Garamond" w:cstheme="minorBidi"/>
                                <w:b/>
                                <w:bCs/>
                                <w:sz w:val="22"/>
                                <w:szCs w:val="22"/>
                              </w:rPr>
                              <w:t xml:space="preserve"> M€</w:t>
                            </w:r>
                          </w:p>
                        </w:txbxContent>
                      </wps:txbx>
                      <wps:bodyPr vertOverflow="clip" wrap="square" rtlCol="0"/>
                    </wps:wsp>
                  </a:graphicData>
                </a:graphic>
              </wp:anchor>
            </w:drawing>
          </mc:Choice>
          <mc:Fallback>
            <w:pict>
              <v:shape id="_x0000_s1028" type="#_x0000_t202" style="position:absolute;left:0;text-align:left;margin-left:215.3pt;margin-top:27.1pt;width:68.25pt;height:18.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" filled="f" stroked="f">
                <v:textbox>
                  <w:txbxContent>
                    <w:p w:rsidR="00C7509A" w:rsidRPr="006B1CA1" w:rsidRDefault="00C7509A" w:rsidP="002F563D">
                      <w:pPr>
                        <w:pStyle w:val="NormalWeb"/>
                        <w:spacing w:before="0" w:beforeAutospacing="0" w:after="0" w:afterAutospacing="0"/>
                        <w:rPr>
                          <w:rFonts w:ascii="Garamond" w:hAnsi="Garamond"/>
                        </w:rPr>
                      </w:pPr>
                      <w:r>
                        <w:rPr>
                          <w:rFonts w:ascii="Garamond" w:hAnsi="Garamond" w:cstheme="minorBidi"/>
                          <w:b/>
                          <w:bCs/>
                          <w:sz w:val="22"/>
                          <w:szCs w:val="22"/>
                        </w:rPr>
                        <w:t>264,6</w:t>
                      </w:r>
                      <w:r w:rsidRPr="006B1CA1">
                        <w:rPr>
                          <w:rFonts w:ascii="Garamond" w:hAnsi="Garamond" w:cstheme="minorBidi"/>
                          <w:b/>
                          <w:bCs/>
                          <w:sz w:val="22"/>
                          <w:szCs w:val="22"/>
                        </w:rPr>
                        <w:t xml:space="preserve"> M€</w:t>
                      </w:r>
                    </w:p>
                  </w:txbxContent>
                </v:textbox>
              </v:shape>
            </w:pict>
          </mc:Fallback>
        </mc:AlternateContent>
      </w:r>
      <w:r>
        <w:rPr>
          <w:rFonts w:cs="Tahoma"/>
          <w:b/>
          <w:noProof/>
          <w:lang w:eastAsia="fr-FR"/>
        </w:rPr>
        <w:drawing>
          <wp:inline distT="0" distB="0" distL="0" distR="0" wp14:anchorId="2A21D0F2">
            <wp:extent cx="5131499" cy="3347499"/>
            <wp:effectExtent l="0" t="0" r="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41246" cy="3353858"/>
                    </a:xfrm>
                    <a:prstGeom prst="rect">
                      <a:avLst/>
                    </a:prstGeom>
                    <a:noFill/>
                  </pic:spPr>
                </pic:pic>
              </a:graphicData>
            </a:graphic>
          </wp:inline>
        </w:drawing>
      </w:r>
    </w:p>
    <w:p w:rsidR="004962D7" w:rsidRDefault="004962D7" w:rsidP="005D5A95">
      <w:pPr>
        <w:jc w:val="center"/>
        <w:rPr>
          <w:rFonts w:cs="Tahoma"/>
          <w:b/>
        </w:rPr>
      </w:pPr>
    </w:p>
    <w:p w:rsidR="005D5A95" w:rsidRDefault="004962D7" w:rsidP="005D5A95">
      <w:pPr>
        <w:jc w:val="center"/>
        <w:rPr>
          <w:rFonts w:cs="Tahoma"/>
          <w:b/>
        </w:rPr>
      </w:pPr>
      <w:r>
        <w:rPr>
          <w:noProof/>
          <w:lang w:eastAsia="fr-FR"/>
        </w:rPr>
        <w:drawing>
          <wp:inline distT="0" distB="0" distL="0" distR="0" wp14:anchorId="081418E5" wp14:editId="060BBA20">
            <wp:extent cx="5741035" cy="231394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41035" cy="2313940"/>
                    </a:xfrm>
                    <a:prstGeom prst="rect">
                      <a:avLst/>
                    </a:prstGeom>
                    <a:noFill/>
                    <a:ln>
                      <a:noFill/>
                    </a:ln>
                  </pic:spPr>
                </pic:pic>
              </a:graphicData>
            </a:graphic>
          </wp:inline>
        </w:drawing>
      </w:r>
    </w:p>
    <w:p w:rsidR="004962D7" w:rsidRDefault="004962D7" w:rsidP="004962D7"/>
    <w:p w:rsidR="004962D7" w:rsidRDefault="004962D7" w:rsidP="004962D7"/>
    <w:p w:rsidR="004962D7" w:rsidRPr="004962D7" w:rsidRDefault="004962D7" w:rsidP="004962D7">
      <w:r>
        <w:lastRenderedPageBreak/>
        <w:t>Depuis la transformation de l’établissement en EPT</w:t>
      </w:r>
      <w:r w:rsidRPr="004962D7">
        <w:t>, les recettes reposent à 4</w:t>
      </w:r>
      <w:r w:rsidR="001A26A7">
        <w:t>4</w:t>
      </w:r>
      <w:r w:rsidRPr="004962D7">
        <w:t xml:space="preserve">% sur le fonds de compensation des charges territoriales </w:t>
      </w:r>
      <w:r>
        <w:t>(FCCT) versé par les villes :</w:t>
      </w:r>
      <w:r w:rsidRPr="004962D7">
        <w:t xml:space="preserve"> </w:t>
      </w:r>
    </w:p>
    <w:p w:rsidR="004962D7" w:rsidRDefault="006B1CA1" w:rsidP="004962D7">
      <w:pPr>
        <w:jc w:val="center"/>
      </w:pPr>
      <w:r>
        <w:rPr>
          <w:noProof/>
          <w:lang w:eastAsia="fr-FR"/>
        </w:rPr>
        <w:drawing>
          <wp:inline distT="0" distB="0" distL="0" distR="0" wp14:anchorId="1B87BBEE" wp14:editId="41415182">
            <wp:extent cx="5088835" cy="2612587"/>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00793" cy="2618726"/>
                    </a:xfrm>
                    <a:prstGeom prst="rect">
                      <a:avLst/>
                    </a:prstGeom>
                    <a:noFill/>
                  </pic:spPr>
                </pic:pic>
              </a:graphicData>
            </a:graphic>
          </wp:inline>
        </w:drawing>
      </w:r>
    </w:p>
    <w:p w:rsidR="00804B1B" w:rsidRDefault="00804B1B">
      <w:pPr>
        <w:jc w:val="left"/>
        <w:rPr>
          <w:b/>
        </w:rPr>
      </w:pPr>
    </w:p>
    <w:p w:rsidR="00AD2362" w:rsidRPr="004D406F" w:rsidRDefault="00AD2362" w:rsidP="00AD2362">
      <w:pPr>
        <w:pStyle w:val="Titre3"/>
        <w:jc w:val="left"/>
      </w:pPr>
      <w:bookmarkStart w:id="31" w:name="_Toc447272245"/>
      <w:bookmarkStart w:id="32" w:name="_Toc447272246"/>
      <w:bookmarkStart w:id="33" w:name="_Toc446084187"/>
      <w:bookmarkStart w:id="34" w:name="_Toc446084382"/>
      <w:bookmarkStart w:id="35" w:name="_Toc446084433"/>
      <w:bookmarkStart w:id="36" w:name="_Toc446403446"/>
      <w:bookmarkStart w:id="37" w:name="_Toc447272247"/>
      <w:bookmarkStart w:id="38" w:name="_Toc509490437"/>
      <w:bookmarkEnd w:id="31"/>
      <w:bookmarkEnd w:id="32"/>
      <w:bookmarkEnd w:id="33"/>
      <w:bookmarkEnd w:id="34"/>
      <w:bookmarkEnd w:id="35"/>
      <w:bookmarkEnd w:id="36"/>
      <w:bookmarkEnd w:id="37"/>
      <w:r>
        <w:t>Les dépenses réelles de la section de fonctionnement</w:t>
      </w:r>
      <w:bookmarkEnd w:id="38"/>
    </w:p>
    <w:p w:rsidR="00AD2362" w:rsidRDefault="00A6010D" w:rsidP="00AD2362">
      <w:r>
        <w:rPr>
          <w:noProof/>
          <w:lang w:eastAsia="fr-FR"/>
        </w:rPr>
        <w:drawing>
          <wp:anchor distT="0" distB="0" distL="114300" distR="114300" simplePos="0" relativeHeight="251673600" behindDoc="0" locked="0" layoutInCell="1" allowOverlap="1" wp14:anchorId="5A1341E5" wp14:editId="2FD3C20A">
            <wp:simplePos x="0" y="0"/>
            <wp:positionH relativeFrom="column">
              <wp:posOffset>2051050</wp:posOffset>
            </wp:positionH>
            <wp:positionV relativeFrom="paragraph">
              <wp:posOffset>88265</wp:posOffset>
            </wp:positionV>
            <wp:extent cx="4272280" cy="2607945"/>
            <wp:effectExtent l="0" t="0" r="0" b="1905"/>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72280" cy="2607945"/>
                    </a:xfrm>
                    <a:prstGeom prst="rect">
                      <a:avLst/>
                    </a:prstGeom>
                    <a:noFill/>
                  </pic:spPr>
                </pic:pic>
              </a:graphicData>
            </a:graphic>
            <wp14:sizeRelH relativeFrom="page">
              <wp14:pctWidth>0</wp14:pctWidth>
            </wp14:sizeRelH>
            <wp14:sizeRelV relativeFrom="page">
              <wp14:pctHeight>0</wp14:pctHeight>
            </wp14:sizeRelV>
          </wp:anchor>
        </w:drawing>
      </w:r>
    </w:p>
    <w:p w:rsidR="00A6010D" w:rsidRDefault="00A6010D" w:rsidP="00AD2362">
      <w:r w:rsidRPr="00AE60EE">
        <w:rPr>
          <w:noProof/>
          <w:lang w:eastAsia="fr-FR"/>
        </w:rPr>
        <mc:AlternateContent>
          <mc:Choice Requires="wps">
            <w:drawing>
              <wp:anchor distT="0" distB="0" distL="114300" distR="114300" simplePos="0" relativeHeight="251675648" behindDoc="0" locked="0" layoutInCell="1" allowOverlap="1" wp14:anchorId="6A69F06A" wp14:editId="7D38FCAE">
                <wp:simplePos x="0" y="0"/>
                <wp:positionH relativeFrom="column">
                  <wp:posOffset>3719830</wp:posOffset>
                </wp:positionH>
                <wp:positionV relativeFrom="paragraph">
                  <wp:posOffset>446047</wp:posOffset>
                </wp:positionV>
                <wp:extent cx="866775" cy="238125"/>
                <wp:effectExtent l="0" t="0" r="0" b="0"/>
                <wp:wrapNone/>
                <wp:docPr id="9" name="Zone de texte 1"/>
                <wp:cNvGraphicFramePr/>
                <a:graphic xmlns:a="http://schemas.openxmlformats.org/drawingml/2006/main">
                  <a:graphicData uri="http://schemas.microsoft.com/office/word/2010/wordprocessingShape">
                    <wps:wsp>
                      <wps:cNvSpPr txBox="1"/>
                      <wps:spPr>
                        <a:xfrm>
                          <a:off x="0" y="0"/>
                          <a:ext cx="866775" cy="238125"/>
                        </a:xfrm>
                        <a:prstGeom prst="rect">
                          <a:avLst/>
                        </a:prstGeom>
                      </wps:spPr>
                      <wps:txbx>
                        <w:txbxContent>
                          <w:p w:rsidR="00C7509A" w:rsidRPr="00BD0B55" w:rsidRDefault="00C7509A" w:rsidP="00BD0B55">
                            <w:pPr>
                              <w:pStyle w:val="NormalWeb"/>
                              <w:spacing w:before="0" w:beforeAutospacing="0" w:after="0" w:afterAutospacing="0"/>
                              <w:jc w:val="center"/>
                              <w:rPr>
                                <w:rFonts w:ascii="Garamond" w:hAnsi="Garamond"/>
                              </w:rPr>
                            </w:pPr>
                            <w:r w:rsidRPr="00BD0B55">
                              <w:rPr>
                                <w:rFonts w:ascii="Garamond" w:hAnsi="Garamond" w:cstheme="minorBidi"/>
                                <w:b/>
                                <w:bCs/>
                                <w:sz w:val="22"/>
                                <w:szCs w:val="22"/>
                              </w:rPr>
                              <w:t>24</w:t>
                            </w:r>
                            <w:r>
                              <w:rPr>
                                <w:rFonts w:ascii="Garamond" w:hAnsi="Garamond" w:cstheme="minorBidi"/>
                                <w:b/>
                                <w:bCs/>
                                <w:sz w:val="22"/>
                                <w:szCs w:val="22"/>
                              </w:rPr>
                              <w:t>5,6</w:t>
                            </w:r>
                            <w:r w:rsidRPr="00BD0B55">
                              <w:rPr>
                                <w:rFonts w:ascii="Garamond" w:hAnsi="Garamond" w:cstheme="minorBidi"/>
                                <w:b/>
                                <w:bCs/>
                                <w:sz w:val="22"/>
                                <w:szCs w:val="22"/>
                              </w:rPr>
                              <w:t xml:space="preserve"> M€</w:t>
                            </w:r>
                          </w:p>
                        </w:txbxContent>
                      </wps:txbx>
                      <wps:bodyPr vertOverflow="clip" wrap="square" rtlCol="0"/>
                    </wps:wsp>
                  </a:graphicData>
                </a:graphic>
              </wp:anchor>
            </w:drawing>
          </mc:Choice>
          <mc:Fallback>
            <w:pict>
              <v:shape id="_x0000_s1029" type="#_x0000_t202" style="position:absolute;left:0;text-align:left;margin-left:292.9pt;margin-top:35.1pt;width:68.25pt;height:18.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" filled="f" stroked="f">
                <v:textbox>
                  <w:txbxContent>
                    <w:p w:rsidR="00C7509A" w:rsidRPr="00BD0B55" w:rsidRDefault="00C7509A" w:rsidP="00BD0B55">
                      <w:pPr>
                        <w:pStyle w:val="NormalWeb"/>
                        <w:spacing w:before="0" w:beforeAutospacing="0" w:after="0" w:afterAutospacing="0"/>
                        <w:jc w:val="center"/>
                        <w:rPr>
                          <w:rFonts w:ascii="Garamond" w:hAnsi="Garamond"/>
                        </w:rPr>
                      </w:pPr>
                      <w:r w:rsidRPr="00BD0B55">
                        <w:rPr>
                          <w:rFonts w:ascii="Garamond" w:hAnsi="Garamond" w:cstheme="minorBidi"/>
                          <w:b/>
                          <w:bCs/>
                          <w:sz w:val="22"/>
                          <w:szCs w:val="22"/>
                        </w:rPr>
                        <w:t>24</w:t>
                      </w:r>
                      <w:r>
                        <w:rPr>
                          <w:rFonts w:ascii="Garamond" w:hAnsi="Garamond" w:cstheme="minorBidi"/>
                          <w:b/>
                          <w:bCs/>
                          <w:sz w:val="22"/>
                          <w:szCs w:val="22"/>
                        </w:rPr>
                        <w:t>5,6</w:t>
                      </w:r>
                      <w:r w:rsidRPr="00BD0B55">
                        <w:rPr>
                          <w:rFonts w:ascii="Garamond" w:hAnsi="Garamond" w:cstheme="minorBidi"/>
                          <w:b/>
                          <w:bCs/>
                          <w:sz w:val="22"/>
                          <w:szCs w:val="22"/>
                        </w:rPr>
                        <w:t xml:space="preserve"> M€</w:t>
                      </w:r>
                    </w:p>
                  </w:txbxContent>
                </v:textbox>
              </v:shape>
            </w:pict>
          </mc:Fallback>
        </mc:AlternateContent>
      </w:r>
      <w:r w:rsidRPr="00AE60EE">
        <w:rPr>
          <w:noProof/>
          <w:lang w:eastAsia="fr-FR"/>
        </w:rPr>
        <mc:AlternateContent>
          <mc:Choice Requires="wps">
            <w:drawing>
              <wp:anchor distT="0" distB="0" distL="114300" distR="114300" simplePos="0" relativeHeight="251674624" behindDoc="0" locked="0" layoutInCell="1" allowOverlap="1" wp14:anchorId="5D706180" wp14:editId="3B5942F1">
                <wp:simplePos x="0" y="0"/>
                <wp:positionH relativeFrom="column">
                  <wp:posOffset>2468880</wp:posOffset>
                </wp:positionH>
                <wp:positionV relativeFrom="paragraph">
                  <wp:posOffset>473075</wp:posOffset>
                </wp:positionV>
                <wp:extent cx="723900" cy="238125"/>
                <wp:effectExtent l="0" t="0" r="0" b="0"/>
                <wp:wrapNone/>
                <wp:docPr id="10" name="Zone de texte 1"/>
                <wp:cNvGraphicFramePr/>
                <a:graphic xmlns:a="http://schemas.openxmlformats.org/drawingml/2006/main">
                  <a:graphicData uri="http://schemas.microsoft.com/office/word/2010/wordprocessingShape">
                    <wps:wsp>
                      <wps:cNvSpPr txBox="1"/>
                      <wps:spPr>
                        <a:xfrm>
                          <a:off x="0" y="0"/>
                          <a:ext cx="723900" cy="238125"/>
                        </a:xfrm>
                        <a:prstGeom prst="rect">
                          <a:avLst/>
                        </a:prstGeom>
                      </wps:spPr>
                      <wps:txbx>
                        <w:txbxContent>
                          <w:p w:rsidR="00C7509A" w:rsidRPr="00BD0B55" w:rsidRDefault="00C7509A" w:rsidP="00BD0B55">
                            <w:pPr>
                              <w:pStyle w:val="NormalWeb"/>
                              <w:spacing w:before="0" w:beforeAutospacing="0" w:after="0" w:afterAutospacing="0"/>
                              <w:jc w:val="center"/>
                              <w:rPr>
                                <w:rFonts w:ascii="Garamond" w:hAnsi="Garamond"/>
                              </w:rPr>
                            </w:pPr>
                            <w:r w:rsidRPr="00BD0B55">
                              <w:rPr>
                                <w:rFonts w:ascii="Garamond" w:hAnsi="Garamond" w:cstheme="minorBidi"/>
                                <w:b/>
                                <w:bCs/>
                                <w:sz w:val="22"/>
                                <w:szCs w:val="22"/>
                              </w:rPr>
                              <w:t>240,2 M€</w:t>
                            </w:r>
                          </w:p>
                        </w:txbxContent>
                      </wps:txbx>
                      <wps:bodyPr vertOverflow="clip" wrap="square" rtlCol="0"/>
                    </wps:wsp>
                  </a:graphicData>
                </a:graphic>
                <wp14:sizeRelH relativeFrom="margin">
                  <wp14:pctWidth>0</wp14:pctWidth>
                </wp14:sizeRelH>
              </wp:anchor>
            </w:drawing>
          </mc:Choice>
          <mc:Fallback>
            <w:pict>
              <v:shape id="_x0000_s1030" type="#_x0000_t202" style="position:absolute;left:0;text-align:left;margin-left:194.4pt;margin-top:37.25pt;width:57pt;height:18.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" filled="f" stroked="f">
                <v:textbox>
                  <w:txbxContent>
                    <w:p w:rsidR="00C7509A" w:rsidRPr="00BD0B55" w:rsidRDefault="00C7509A" w:rsidP="00BD0B55">
                      <w:pPr>
                        <w:pStyle w:val="NormalWeb"/>
                        <w:spacing w:before="0" w:beforeAutospacing="0" w:after="0" w:afterAutospacing="0"/>
                        <w:jc w:val="center"/>
                        <w:rPr>
                          <w:rFonts w:ascii="Garamond" w:hAnsi="Garamond"/>
                        </w:rPr>
                      </w:pPr>
                      <w:r w:rsidRPr="00BD0B55">
                        <w:rPr>
                          <w:rFonts w:ascii="Garamond" w:hAnsi="Garamond" w:cstheme="minorBidi"/>
                          <w:b/>
                          <w:bCs/>
                          <w:sz w:val="22"/>
                          <w:szCs w:val="22"/>
                        </w:rPr>
                        <w:t>240,2 M€</w:t>
                      </w:r>
                    </w:p>
                  </w:txbxContent>
                </v:textbox>
              </v:shape>
            </w:pict>
          </mc:Fallback>
        </mc:AlternateContent>
      </w:r>
      <w:r>
        <w:t xml:space="preserve">Les dépenses réelles de fonctionnement progressent de +2,3% entre 2016 et 2017, soit une hausse de +5,4 M€. </w:t>
      </w:r>
    </w:p>
    <w:p w:rsidR="00A6010D" w:rsidRDefault="00A6010D" w:rsidP="00AD2362"/>
    <w:p w:rsidR="00A6010D" w:rsidRDefault="00A6010D" w:rsidP="00AD2362"/>
    <w:p w:rsidR="00A6010D" w:rsidRDefault="00A6010D" w:rsidP="00AD2362"/>
    <w:p w:rsidR="00A6010D" w:rsidRDefault="00A6010D" w:rsidP="00AD2362"/>
    <w:p w:rsidR="00A6010D" w:rsidRDefault="00A6010D" w:rsidP="00AD2362"/>
    <w:p w:rsidR="00A6010D" w:rsidRDefault="00A6010D" w:rsidP="00AD2362"/>
    <w:p w:rsidR="00A6010D" w:rsidRDefault="00A6010D" w:rsidP="00AD2362"/>
    <w:p w:rsidR="00A6010D" w:rsidRDefault="00A6010D" w:rsidP="00AD2362"/>
    <w:p w:rsidR="00A6010D" w:rsidRDefault="00A6010D" w:rsidP="00AD2362"/>
    <w:p w:rsidR="00A6010D" w:rsidRDefault="00A6010D" w:rsidP="00AD2362"/>
    <w:p w:rsidR="00A6010D" w:rsidRDefault="00A6010D" w:rsidP="00AD2362"/>
    <w:p w:rsidR="00AE60EE" w:rsidRDefault="00A6010D" w:rsidP="00AD2362">
      <w:r>
        <w:t>Cette croissance s’explique notamment par la hausse des dépenses de personnel (+6,0%) liée à la poursuite du développement des compétences d’Est Ensemble et la progression de charge nette du FPIC (+21,4%).</w:t>
      </w:r>
    </w:p>
    <w:p w:rsidR="00F63731" w:rsidRDefault="00F63731" w:rsidP="00BD0B55">
      <w:pPr>
        <w:jc w:val="center"/>
      </w:pPr>
    </w:p>
    <w:p w:rsidR="00A140BB" w:rsidRDefault="00A6010D" w:rsidP="00A6010D">
      <w:pPr>
        <w:jc w:val="center"/>
      </w:pPr>
      <w:r>
        <w:rPr>
          <w:noProof/>
          <w:lang w:eastAsia="fr-FR"/>
        </w:rPr>
        <w:drawing>
          <wp:inline distT="0" distB="0" distL="0" distR="0" wp14:anchorId="09644906" wp14:editId="67521031">
            <wp:extent cx="5741035" cy="1876425"/>
            <wp:effectExtent l="0" t="0" r="0" b="9525"/>
            <wp:docPr id="384" name="Imag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41035" cy="1876425"/>
                    </a:xfrm>
                    <a:prstGeom prst="rect">
                      <a:avLst/>
                    </a:prstGeom>
                    <a:noFill/>
                    <a:ln>
                      <a:noFill/>
                    </a:ln>
                  </pic:spPr>
                </pic:pic>
              </a:graphicData>
            </a:graphic>
          </wp:inline>
        </w:drawing>
      </w:r>
      <w:r w:rsidR="00A140BB">
        <w:br w:type="page"/>
      </w:r>
    </w:p>
    <w:p w:rsidR="008C68B5" w:rsidRPr="00BB432C" w:rsidRDefault="00BD0B55" w:rsidP="00BB432C">
      <w:pPr>
        <w:jc w:val="center"/>
        <w:rPr>
          <w:rFonts w:ascii="Arial Narrow" w:hAnsi="Arial Narrow"/>
          <w:b/>
        </w:rPr>
      </w:pPr>
      <w:r>
        <w:rPr>
          <w:rFonts w:ascii="Arial Narrow" w:hAnsi="Arial Narrow"/>
          <w:b/>
          <w:noProof/>
          <w:lang w:eastAsia="fr-FR"/>
        </w:rPr>
        <w:lastRenderedPageBreak/>
        <w:drawing>
          <wp:inline distT="0" distB="0" distL="0" distR="0" wp14:anchorId="76CD3EEB" wp14:editId="3AF3A572">
            <wp:extent cx="4584700" cy="2755900"/>
            <wp:effectExtent l="0" t="0" r="6350" b="635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DB33D5" w:rsidRPr="00A6010D" w:rsidRDefault="001E7AC7">
      <w:r w:rsidRPr="00A6010D">
        <w:t xml:space="preserve">La dotation d’équilibre représente </w:t>
      </w:r>
      <w:r w:rsidR="00A6010D" w:rsidRPr="00A6010D">
        <w:t>52</w:t>
      </w:r>
      <w:r w:rsidRPr="00A6010D">
        <w:t xml:space="preserve">% des dépenses réelles de fonctionnement d’Est Ensemble. </w:t>
      </w:r>
    </w:p>
    <w:p w:rsidR="001E7AC7" w:rsidRPr="00BD0B55" w:rsidRDefault="001E7AC7" w:rsidP="001E7AC7">
      <w:pPr>
        <w:rPr>
          <w:highlight w:val="yellow"/>
        </w:rPr>
      </w:pPr>
    </w:p>
    <w:p w:rsidR="003B29EA" w:rsidRDefault="003B29EA">
      <w:pPr>
        <w:jc w:val="left"/>
      </w:pPr>
      <w:r>
        <w:br w:type="page"/>
      </w:r>
    </w:p>
    <w:p w:rsidR="0090147E" w:rsidRDefault="001F31CA" w:rsidP="00902FEA">
      <w:pPr>
        <w:pStyle w:val="Titre2"/>
      </w:pPr>
      <w:bookmarkStart w:id="39" w:name="_Toc509490438"/>
      <w:r>
        <w:lastRenderedPageBreak/>
        <w:t>L’investissement</w:t>
      </w:r>
      <w:bookmarkEnd w:id="39"/>
    </w:p>
    <w:p w:rsidR="008C68B5" w:rsidRPr="001B4230" w:rsidRDefault="008C68B5" w:rsidP="008C68B5">
      <w:pPr>
        <w:ind w:left="284"/>
        <w:rPr>
          <w:rFonts w:ascii="Arial Narrow" w:hAnsi="Arial Narrow"/>
          <w:b/>
          <w:sz w:val="8"/>
        </w:rPr>
      </w:pPr>
      <w:bookmarkStart w:id="40" w:name="_Toc444698459"/>
      <w:bookmarkStart w:id="41" w:name="_Toc444698505"/>
      <w:bookmarkStart w:id="42" w:name="_Toc444698551"/>
      <w:bookmarkStart w:id="43" w:name="_Toc444698460"/>
      <w:bookmarkStart w:id="44" w:name="_Toc444698506"/>
      <w:bookmarkStart w:id="45" w:name="_Toc444698552"/>
      <w:bookmarkStart w:id="46" w:name="_Toc444698461"/>
      <w:bookmarkStart w:id="47" w:name="_Toc444698507"/>
      <w:bookmarkStart w:id="48" w:name="_Toc444698553"/>
      <w:bookmarkStart w:id="49" w:name="_Toc444698462"/>
      <w:bookmarkStart w:id="50" w:name="_Toc444698508"/>
      <w:bookmarkStart w:id="51" w:name="_Toc444698554"/>
      <w:bookmarkStart w:id="52" w:name="_Toc444698463"/>
      <w:bookmarkStart w:id="53" w:name="_Toc444698509"/>
      <w:bookmarkStart w:id="54" w:name="_Toc444698555"/>
      <w:bookmarkStart w:id="55" w:name="_Toc444698464"/>
      <w:bookmarkStart w:id="56" w:name="_Toc444698510"/>
      <w:bookmarkStart w:id="57" w:name="_Toc444698556"/>
      <w:bookmarkStart w:id="58" w:name="_Toc444698465"/>
      <w:bookmarkStart w:id="59" w:name="_Toc444698511"/>
      <w:bookmarkStart w:id="60" w:name="_Toc444698557"/>
      <w:bookmarkStart w:id="61" w:name="_Toc444698466"/>
      <w:bookmarkStart w:id="62" w:name="_Toc444698512"/>
      <w:bookmarkStart w:id="63" w:name="_Toc444698558"/>
      <w:bookmarkStart w:id="64" w:name="_Toc444698467"/>
      <w:bookmarkStart w:id="65" w:name="_Toc444698513"/>
      <w:bookmarkStart w:id="66" w:name="_Toc444698559"/>
      <w:bookmarkStart w:id="67" w:name="_Toc444698468"/>
      <w:bookmarkStart w:id="68" w:name="_Toc444698514"/>
      <w:bookmarkStart w:id="69" w:name="_Toc444698560"/>
      <w:bookmarkStart w:id="70" w:name="_Toc444698469"/>
      <w:bookmarkStart w:id="71" w:name="_Toc444698515"/>
      <w:bookmarkStart w:id="72" w:name="_Toc444698561"/>
      <w:bookmarkStart w:id="73" w:name="_Toc444698470"/>
      <w:bookmarkStart w:id="74" w:name="_Toc444698516"/>
      <w:bookmarkStart w:id="75" w:name="_Toc444698562"/>
      <w:bookmarkStart w:id="76" w:name="_Toc444698471"/>
      <w:bookmarkStart w:id="77" w:name="_Toc444698517"/>
      <w:bookmarkStart w:id="78" w:name="_Toc444698563"/>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rsidR="008C68B5" w:rsidRDefault="008C68B5" w:rsidP="009E6A42">
      <w:pPr>
        <w:pStyle w:val="Titre3"/>
        <w:numPr>
          <w:ilvl w:val="0"/>
          <w:numId w:val="4"/>
        </w:numPr>
      </w:pPr>
      <w:bookmarkStart w:id="79" w:name="_Toc509490439"/>
      <w:r>
        <w:t>Les recettes réelles</w:t>
      </w:r>
      <w:bookmarkEnd w:id="79"/>
      <w:r>
        <w:t xml:space="preserve"> </w:t>
      </w:r>
    </w:p>
    <w:p w:rsidR="00AE635E" w:rsidRDefault="00AE635E" w:rsidP="00AE635E">
      <w:pPr>
        <w:pStyle w:val="Paragraphedeliste"/>
        <w:ind w:left="0"/>
        <w:rPr>
          <w:rFonts w:cs="Tahoma"/>
          <w:szCs w:val="20"/>
        </w:rPr>
      </w:pPr>
    </w:p>
    <w:p w:rsidR="00DD6E33" w:rsidRPr="004B6BDF" w:rsidRDefault="00AE635E" w:rsidP="007541CB">
      <w:pPr>
        <w:pStyle w:val="Paragraphedeliste"/>
        <w:ind w:left="0"/>
        <w:rPr>
          <w:rFonts w:cs="Tahoma"/>
          <w:szCs w:val="20"/>
        </w:rPr>
      </w:pPr>
      <w:r w:rsidRPr="004B6BDF">
        <w:rPr>
          <w:rFonts w:cs="Tahoma"/>
          <w:szCs w:val="20"/>
        </w:rPr>
        <w:t xml:space="preserve">Les recettes d’investissement </w:t>
      </w:r>
      <w:r w:rsidR="00DD6E33" w:rsidRPr="004B6BDF">
        <w:rPr>
          <w:rFonts w:cs="Tahoma"/>
          <w:szCs w:val="20"/>
        </w:rPr>
        <w:t xml:space="preserve">enregistrent une </w:t>
      </w:r>
      <w:r w:rsidR="004B6BDF" w:rsidRPr="004B6BDF">
        <w:rPr>
          <w:rFonts w:cs="Tahoma"/>
          <w:szCs w:val="20"/>
        </w:rPr>
        <w:t>légère diminution</w:t>
      </w:r>
      <w:r w:rsidR="00DD6E33" w:rsidRPr="004B6BDF">
        <w:rPr>
          <w:rFonts w:cs="Tahoma"/>
          <w:szCs w:val="20"/>
        </w:rPr>
        <w:t xml:space="preserve"> de</w:t>
      </w:r>
      <w:r w:rsidR="004B6BDF" w:rsidRPr="004B6BDF">
        <w:rPr>
          <w:rFonts w:cs="Tahoma"/>
          <w:szCs w:val="20"/>
        </w:rPr>
        <w:t xml:space="preserve"> -1,</w:t>
      </w:r>
      <w:r w:rsidR="004B6BDF" w:rsidRPr="004B6BDF">
        <w:t>3 </w:t>
      </w:r>
      <w:r w:rsidR="00DD6E33" w:rsidRPr="004B6BDF">
        <w:t>M</w:t>
      </w:r>
      <w:r w:rsidR="00DD6E33" w:rsidRPr="004B6BDF">
        <w:rPr>
          <w:rFonts w:cs="Tahoma"/>
          <w:szCs w:val="20"/>
        </w:rPr>
        <w:t>€ en 201</w:t>
      </w:r>
      <w:r w:rsidR="00757823">
        <w:rPr>
          <w:rFonts w:cs="Tahoma"/>
          <w:szCs w:val="20"/>
        </w:rPr>
        <w:t>7</w:t>
      </w:r>
      <w:r w:rsidR="00DD6E33" w:rsidRPr="004B6BDF">
        <w:rPr>
          <w:rFonts w:cs="Tahoma"/>
          <w:szCs w:val="20"/>
        </w:rPr>
        <w:t> : elles s’élèvent en effet à</w:t>
      </w:r>
      <w:r w:rsidR="004B6BDF" w:rsidRPr="004B6BDF">
        <w:rPr>
          <w:rFonts w:cs="Tahoma"/>
          <w:szCs w:val="20"/>
        </w:rPr>
        <w:t xml:space="preserve"> 25,0 M€ contre</w:t>
      </w:r>
      <w:r w:rsidR="00DD6E33" w:rsidRPr="004B6BDF">
        <w:rPr>
          <w:rFonts w:cs="Tahoma"/>
          <w:szCs w:val="20"/>
        </w:rPr>
        <w:t xml:space="preserve"> 26,3 M€ en 201</w:t>
      </w:r>
      <w:r w:rsidR="004B6BDF" w:rsidRPr="004B6BDF">
        <w:rPr>
          <w:rFonts w:cs="Tahoma"/>
          <w:szCs w:val="20"/>
        </w:rPr>
        <w:t>6</w:t>
      </w:r>
      <w:r w:rsidR="00DD6E33" w:rsidRPr="004B6BDF">
        <w:rPr>
          <w:rFonts w:cs="Tahoma"/>
          <w:szCs w:val="20"/>
        </w:rPr>
        <w:t>. Cette évolution reflète :</w:t>
      </w:r>
    </w:p>
    <w:p w:rsidR="00DD6E33" w:rsidRPr="004B6BDF" w:rsidRDefault="00DD6E33" w:rsidP="009E6A42">
      <w:pPr>
        <w:pStyle w:val="Paragraphedeliste"/>
        <w:numPr>
          <w:ilvl w:val="0"/>
          <w:numId w:val="23"/>
        </w:numPr>
      </w:pPr>
      <w:r w:rsidRPr="004B6BDF">
        <w:rPr>
          <w:rFonts w:cs="Tahoma"/>
          <w:szCs w:val="20"/>
        </w:rPr>
        <w:t xml:space="preserve">Une </w:t>
      </w:r>
      <w:r w:rsidR="004B6BDF" w:rsidRPr="004B6BDF">
        <w:rPr>
          <w:rFonts w:cs="Tahoma"/>
          <w:szCs w:val="20"/>
        </w:rPr>
        <w:t>baisse significative</w:t>
      </w:r>
      <w:r w:rsidRPr="004B6BDF">
        <w:rPr>
          <w:rFonts w:cs="Tahoma"/>
          <w:szCs w:val="20"/>
        </w:rPr>
        <w:t xml:space="preserve"> du n</w:t>
      </w:r>
      <w:r w:rsidR="004B6BDF" w:rsidRPr="004B6BDF">
        <w:rPr>
          <w:rFonts w:cs="Tahoma"/>
          <w:szCs w:val="20"/>
        </w:rPr>
        <w:t>iveau de l’emprunt d’équilibre, qui s’élève à 7,8</w:t>
      </w:r>
      <w:r w:rsidRPr="004B6BDF">
        <w:rPr>
          <w:rFonts w:cs="Tahoma"/>
          <w:szCs w:val="20"/>
        </w:rPr>
        <w:t xml:space="preserve"> M€ contre </w:t>
      </w:r>
      <w:r w:rsidR="004B6BDF" w:rsidRPr="004B6BDF">
        <w:rPr>
          <w:rFonts w:cs="Tahoma"/>
          <w:szCs w:val="20"/>
        </w:rPr>
        <w:t>11,3 M€ en 2016 (-3,5</w:t>
      </w:r>
      <w:r w:rsidRPr="004B6BDF">
        <w:rPr>
          <w:rFonts w:cs="Tahoma"/>
          <w:szCs w:val="20"/>
        </w:rPr>
        <w:t xml:space="preserve"> M€)</w:t>
      </w:r>
    </w:p>
    <w:p w:rsidR="00E231B9" w:rsidRPr="004B6BDF" w:rsidRDefault="004B6BDF" w:rsidP="009E6A42">
      <w:pPr>
        <w:pStyle w:val="Paragraphedeliste"/>
        <w:numPr>
          <w:ilvl w:val="0"/>
          <w:numId w:val="23"/>
        </w:numPr>
      </w:pPr>
      <w:r w:rsidRPr="004B6BDF">
        <w:t>Une progression des subventions qui passent de 7,3 M€ en 2016 à 9,6 M€ en 2017 (+2,3 M€).</w:t>
      </w:r>
    </w:p>
    <w:p w:rsidR="003B29EA" w:rsidRPr="001F31CA" w:rsidRDefault="00E1645F" w:rsidP="00E1645F">
      <w:pPr>
        <w:ind w:left="360"/>
        <w:jc w:val="center"/>
      </w:pPr>
      <w:r>
        <w:rPr>
          <w:noProof/>
          <w:lang w:eastAsia="fr-FR"/>
        </w:rPr>
        <w:drawing>
          <wp:inline distT="0" distB="0" distL="0" distR="0" wp14:anchorId="291C5879">
            <wp:extent cx="4914900" cy="2381186"/>
            <wp:effectExtent l="0" t="0" r="0" b="63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14900" cy="2381186"/>
                    </a:xfrm>
                    <a:prstGeom prst="rect">
                      <a:avLst/>
                    </a:prstGeom>
                    <a:noFill/>
                  </pic:spPr>
                </pic:pic>
              </a:graphicData>
            </a:graphic>
          </wp:inline>
        </w:drawing>
      </w:r>
    </w:p>
    <w:p w:rsidR="008C68B5" w:rsidRDefault="008C68B5" w:rsidP="00BB432C">
      <w:pPr>
        <w:pStyle w:val="Titre3"/>
      </w:pPr>
      <w:bookmarkStart w:id="80" w:name="_Toc509490440"/>
      <w:r>
        <w:t>Les dépenses réelles</w:t>
      </w:r>
      <w:bookmarkEnd w:id="80"/>
      <w:r>
        <w:rPr>
          <w:u w:val="none"/>
        </w:rPr>
        <w:t xml:space="preserve"> </w:t>
      </w:r>
    </w:p>
    <w:p w:rsidR="008C68B5" w:rsidRDefault="008C68B5" w:rsidP="00BB432C"/>
    <w:p w:rsidR="00E1641A" w:rsidRDefault="004B6BDF" w:rsidP="007541CB">
      <w:r>
        <w:t>En 2017</w:t>
      </w:r>
      <w:r w:rsidR="00F56AE6" w:rsidRPr="004B6BDF">
        <w:t>, les dépenses réelles d’investissement hors dette s’élève</w:t>
      </w:r>
      <w:r w:rsidR="00C7509A">
        <w:t>nt</w:t>
      </w:r>
      <w:r w:rsidR="00F56AE6" w:rsidRPr="004B6BDF">
        <w:t xml:space="preserve"> à</w:t>
      </w:r>
      <w:r>
        <w:t xml:space="preserve"> 23,1 M€</w:t>
      </w:r>
      <w:r w:rsidR="00F56AE6" w:rsidRPr="004B6BDF">
        <w:t>, soit un niveau en léger repli par rapport à 201</w:t>
      </w:r>
      <w:r>
        <w:t>6 (</w:t>
      </w:r>
      <w:r w:rsidRPr="004B6BDF">
        <w:t>24,7 M€</w:t>
      </w:r>
      <w:r>
        <w:t>)</w:t>
      </w:r>
      <w:r w:rsidR="00F56AE6" w:rsidRPr="004B6BDF">
        <w:t xml:space="preserve">. </w:t>
      </w:r>
      <w:r w:rsidR="00E1641A" w:rsidRPr="004B6BDF">
        <w:t>Leur décomposition fonctionnelle présentée dans le graphique ci-après confirme la prégnance des dépenses liées à la politique culturelle et sportive d’Est Ensemble, en lien avec la réalisation des importants projets de construction ou de réhabilitation d’équipements sur le territoire (</w:t>
      </w:r>
      <w:r>
        <w:t xml:space="preserve">achèvement de la </w:t>
      </w:r>
      <w:r w:rsidR="00E1641A" w:rsidRPr="004B6BDF">
        <w:t xml:space="preserve">piscine écologique de Montreuil, CRD </w:t>
      </w:r>
      <w:r w:rsidR="00F56AE6" w:rsidRPr="004B6BDF">
        <w:t>de Noisy-le-Sec…</w:t>
      </w:r>
      <w:r w:rsidR="00E1641A" w:rsidRPr="004B6BDF">
        <w:t xml:space="preserve">). Ces deux secteurs concentrent </w:t>
      </w:r>
      <w:r>
        <w:t>près</w:t>
      </w:r>
      <w:r w:rsidR="00E1641A" w:rsidRPr="004B6BDF">
        <w:t xml:space="preserve"> de </w:t>
      </w:r>
      <w:r>
        <w:t>50</w:t>
      </w:r>
      <w:r w:rsidR="00E1641A" w:rsidRPr="004B6BDF">
        <w:t>% des dépenses en 201</w:t>
      </w:r>
      <w:r>
        <w:t>7</w:t>
      </w:r>
      <w:r w:rsidR="00E1641A" w:rsidRPr="004B6BDF">
        <w:t>.</w:t>
      </w:r>
      <w:r w:rsidR="00E1641A">
        <w:t xml:space="preserve"> </w:t>
      </w:r>
    </w:p>
    <w:p w:rsidR="004540DA" w:rsidRDefault="00D67949" w:rsidP="00E23453">
      <w:pPr>
        <w:jc w:val="center"/>
      </w:pPr>
      <w:r>
        <w:rPr>
          <w:noProof/>
          <w:lang w:eastAsia="fr-FR"/>
        </w:rPr>
        <w:drawing>
          <wp:inline distT="0" distB="0" distL="0" distR="0" wp14:anchorId="19BD6739">
            <wp:extent cx="5352743" cy="3124200"/>
            <wp:effectExtent l="0" t="0" r="63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57287" cy="3126852"/>
                    </a:xfrm>
                    <a:prstGeom prst="rect">
                      <a:avLst/>
                    </a:prstGeom>
                    <a:noFill/>
                  </pic:spPr>
                </pic:pic>
              </a:graphicData>
            </a:graphic>
          </wp:inline>
        </w:drawing>
      </w:r>
    </w:p>
    <w:p w:rsidR="001F31CA" w:rsidRPr="004D406F" w:rsidRDefault="001F31CA" w:rsidP="001F31CA">
      <w:pPr>
        <w:pStyle w:val="Titre1"/>
        <w:rPr>
          <w:rFonts w:cs="Tahoma"/>
        </w:rPr>
      </w:pPr>
      <w:bookmarkStart w:id="81" w:name="_Toc509490441"/>
      <w:r w:rsidRPr="004D406F">
        <w:rPr>
          <w:rFonts w:cs="Tahoma"/>
        </w:rPr>
        <w:lastRenderedPageBreak/>
        <w:t>I</w:t>
      </w:r>
      <w:r>
        <w:rPr>
          <w:rFonts w:cs="Tahoma"/>
        </w:rPr>
        <w:t>I</w:t>
      </w:r>
      <w:r w:rsidRPr="004D406F">
        <w:rPr>
          <w:rFonts w:cs="Tahoma"/>
        </w:rPr>
        <w:t>I.</w:t>
      </w:r>
      <w:r w:rsidRPr="004D406F">
        <w:rPr>
          <w:rFonts w:cs="Tahoma"/>
        </w:rPr>
        <w:tab/>
      </w:r>
      <w:r>
        <w:rPr>
          <w:rFonts w:cs="Tahoma"/>
        </w:rPr>
        <w:t>LE BUDGET ANNEXE D’ASSAINISSEMENT</w:t>
      </w:r>
      <w:bookmarkEnd w:id="81"/>
    </w:p>
    <w:p w:rsidR="001F31CA" w:rsidRDefault="001F31CA">
      <w:pPr>
        <w:jc w:val="left"/>
      </w:pPr>
    </w:p>
    <w:p w:rsidR="001F31CA" w:rsidRPr="00124510" w:rsidRDefault="001F31CA" w:rsidP="009E6A42">
      <w:pPr>
        <w:pStyle w:val="Titre2"/>
        <w:numPr>
          <w:ilvl w:val="0"/>
          <w:numId w:val="24"/>
        </w:numPr>
      </w:pPr>
      <w:bookmarkStart w:id="82" w:name="_Toc445126295"/>
      <w:bookmarkStart w:id="83" w:name="_Toc446084195"/>
      <w:bookmarkStart w:id="84" w:name="_Toc446084389"/>
      <w:bookmarkStart w:id="85" w:name="_Toc446084440"/>
      <w:bookmarkStart w:id="86" w:name="_Toc446403453"/>
      <w:bookmarkStart w:id="87" w:name="_Toc447272254"/>
      <w:bookmarkStart w:id="88" w:name="_Toc509490442"/>
      <w:bookmarkEnd w:id="82"/>
      <w:bookmarkEnd w:id="83"/>
      <w:bookmarkEnd w:id="84"/>
      <w:bookmarkEnd w:id="85"/>
      <w:bookmarkEnd w:id="86"/>
      <w:bookmarkEnd w:id="87"/>
      <w:r w:rsidRPr="00124510">
        <w:t>Le fonctionnement</w:t>
      </w:r>
      <w:bookmarkEnd w:id="88"/>
    </w:p>
    <w:p w:rsidR="009E4248" w:rsidRPr="00124510" w:rsidRDefault="009E4248" w:rsidP="007541CB"/>
    <w:p w:rsidR="001F31CA" w:rsidRPr="00124510" w:rsidRDefault="001F31CA" w:rsidP="009E6A42">
      <w:pPr>
        <w:pStyle w:val="Titre3"/>
        <w:numPr>
          <w:ilvl w:val="0"/>
          <w:numId w:val="17"/>
        </w:numPr>
        <w:jc w:val="left"/>
      </w:pPr>
      <w:bookmarkStart w:id="89" w:name="_Toc509490443"/>
      <w:r w:rsidRPr="00124510">
        <w:t xml:space="preserve">Les recettes </w:t>
      </w:r>
      <w:r w:rsidR="00070AF8" w:rsidRPr="00124510">
        <w:t>d’exploitation</w:t>
      </w:r>
      <w:bookmarkEnd w:id="89"/>
    </w:p>
    <w:p w:rsidR="001F31CA" w:rsidRPr="00124510" w:rsidRDefault="001F31CA" w:rsidP="001F31CA"/>
    <w:p w:rsidR="00C74691" w:rsidRPr="00124510" w:rsidRDefault="00C74691" w:rsidP="00C74691">
      <w:pPr>
        <w:pStyle w:val="Paragraphedeliste"/>
        <w:ind w:left="0"/>
        <w:rPr>
          <w:rFonts w:cs="Tahoma"/>
          <w:szCs w:val="20"/>
        </w:rPr>
      </w:pPr>
      <w:r w:rsidRPr="00124510">
        <w:rPr>
          <w:rFonts w:cs="Tahoma"/>
          <w:szCs w:val="20"/>
        </w:rPr>
        <w:t xml:space="preserve">Les recettes réelles de fonctionnement </w:t>
      </w:r>
      <w:r w:rsidR="000D4FD5" w:rsidRPr="0019405A">
        <w:rPr>
          <w:rFonts w:cs="Tahoma"/>
          <w:szCs w:val="20"/>
        </w:rPr>
        <w:t xml:space="preserve">s’élèvent à </w:t>
      </w:r>
      <w:r w:rsidR="00C11F5E" w:rsidRPr="0019405A">
        <w:rPr>
          <w:rFonts w:cs="Tahoma"/>
          <w:szCs w:val="20"/>
        </w:rPr>
        <w:t>11,3 M€</w:t>
      </w:r>
      <w:r w:rsidR="00C11F5E">
        <w:rPr>
          <w:rFonts w:cs="Tahoma"/>
          <w:szCs w:val="20"/>
        </w:rPr>
        <w:t xml:space="preserve"> en 2017</w:t>
      </w:r>
      <w:r w:rsidR="000D4FD5">
        <w:rPr>
          <w:rFonts w:cs="Tahoma"/>
          <w:szCs w:val="20"/>
        </w:rPr>
        <w:t xml:space="preserve"> (après retraitement de l’excédent de fonctionnement reporté), progressant ainsi de +</w:t>
      </w:r>
      <w:r w:rsidR="00C11F5E">
        <w:rPr>
          <w:rFonts w:cs="Tahoma"/>
          <w:szCs w:val="20"/>
        </w:rPr>
        <w:t>9</w:t>
      </w:r>
      <w:r w:rsidR="000D4FD5">
        <w:rPr>
          <w:rFonts w:cs="Tahoma"/>
          <w:szCs w:val="20"/>
        </w:rPr>
        <w:t>,</w:t>
      </w:r>
      <w:r w:rsidR="00C11F5E">
        <w:rPr>
          <w:rFonts w:cs="Tahoma"/>
          <w:szCs w:val="20"/>
        </w:rPr>
        <w:t>5</w:t>
      </w:r>
      <w:r w:rsidR="000D4FD5">
        <w:rPr>
          <w:rFonts w:cs="Tahoma"/>
          <w:szCs w:val="20"/>
        </w:rPr>
        <w:t>%</w:t>
      </w:r>
      <w:r w:rsidRPr="00124510">
        <w:rPr>
          <w:rFonts w:cs="Tahoma"/>
          <w:szCs w:val="20"/>
        </w:rPr>
        <w:t xml:space="preserve"> </w:t>
      </w:r>
      <w:r w:rsidR="000D4FD5">
        <w:rPr>
          <w:rFonts w:cs="Tahoma"/>
          <w:szCs w:val="20"/>
        </w:rPr>
        <w:t>par rapport à 201</w:t>
      </w:r>
      <w:r w:rsidR="00C11F5E">
        <w:rPr>
          <w:rFonts w:cs="Tahoma"/>
          <w:szCs w:val="20"/>
        </w:rPr>
        <w:t>6 (10,3</w:t>
      </w:r>
      <w:r w:rsidR="000D4FD5">
        <w:rPr>
          <w:rFonts w:cs="Tahoma"/>
          <w:szCs w:val="20"/>
        </w:rPr>
        <w:t xml:space="preserve"> M€).</w:t>
      </w:r>
    </w:p>
    <w:p w:rsidR="001F31CA" w:rsidRDefault="001F31CA" w:rsidP="001F31CA"/>
    <w:p w:rsidR="0019405A" w:rsidRPr="009E3423" w:rsidRDefault="0019405A" w:rsidP="0019405A">
      <w:r>
        <w:t>Parmi ces recettes, les produits des services (chapitre 70) étaient prépondérants et se sont élevées à 10,8 M€ en 2017 :</w:t>
      </w:r>
    </w:p>
    <w:tbl>
      <w:tblPr>
        <w:tblW w:w="5178" w:type="pct"/>
        <w:tblLayout w:type="fixed"/>
        <w:tblCellMar>
          <w:left w:w="70" w:type="dxa"/>
          <w:right w:w="70" w:type="dxa"/>
        </w:tblCellMar>
        <w:tblLook w:val="04A0" w:firstRow="1" w:lastRow="0" w:firstColumn="1" w:lastColumn="0" w:noHBand="0" w:noVBand="1"/>
      </w:tblPr>
      <w:tblGrid>
        <w:gridCol w:w="6306"/>
        <w:gridCol w:w="1910"/>
        <w:gridCol w:w="1910"/>
      </w:tblGrid>
      <w:tr w:rsidR="008423E6" w:rsidRPr="001D29E2" w:rsidTr="008423E6">
        <w:trPr>
          <w:trHeight w:val="255"/>
        </w:trPr>
        <w:tc>
          <w:tcPr>
            <w:tcW w:w="3114" w:type="pct"/>
            <w:tcBorders>
              <w:top w:val="nil"/>
              <w:left w:val="single" w:sz="4" w:space="0" w:color="auto"/>
              <w:bottom w:val="nil"/>
              <w:right w:val="nil"/>
            </w:tcBorders>
            <w:shd w:val="clear" w:color="FFFFFF" w:fill="1F497D"/>
            <w:noWrap/>
            <w:vAlign w:val="bottom"/>
            <w:hideMark/>
          </w:tcPr>
          <w:p w:rsidR="008423E6" w:rsidRPr="001D29E2" w:rsidRDefault="008423E6" w:rsidP="004C067B">
            <w:pPr>
              <w:spacing w:line="240" w:lineRule="auto"/>
              <w:jc w:val="left"/>
              <w:rPr>
                <w:rFonts w:eastAsia="Times New Roman" w:cs="Arial"/>
                <w:b/>
                <w:bCs/>
                <w:color w:val="FFFFFF"/>
                <w:sz w:val="18"/>
                <w:szCs w:val="20"/>
                <w:lang w:eastAsia="fr-FR"/>
              </w:rPr>
            </w:pPr>
            <w:r w:rsidRPr="001D29E2">
              <w:rPr>
                <w:rFonts w:eastAsia="Times New Roman" w:cs="Arial"/>
                <w:b/>
                <w:bCs/>
                <w:color w:val="FFFFFF"/>
                <w:sz w:val="18"/>
                <w:szCs w:val="20"/>
                <w:lang w:eastAsia="fr-FR"/>
              </w:rPr>
              <w:t>Programmes &gt; Actions</w:t>
            </w:r>
          </w:p>
        </w:tc>
        <w:tc>
          <w:tcPr>
            <w:tcW w:w="943" w:type="pct"/>
            <w:tcBorders>
              <w:top w:val="nil"/>
              <w:left w:val="nil"/>
              <w:bottom w:val="nil"/>
              <w:right w:val="nil"/>
            </w:tcBorders>
            <w:shd w:val="clear" w:color="FFFFFF" w:fill="1F497D"/>
            <w:vAlign w:val="bottom"/>
          </w:tcPr>
          <w:p w:rsidR="008423E6" w:rsidRPr="001D29E2" w:rsidRDefault="008423E6" w:rsidP="00631FCD">
            <w:pPr>
              <w:spacing w:line="240" w:lineRule="auto"/>
              <w:jc w:val="center"/>
              <w:rPr>
                <w:rFonts w:eastAsia="Times New Roman" w:cs="Arial"/>
                <w:b/>
                <w:bCs/>
                <w:color w:val="FFFFFF"/>
                <w:sz w:val="18"/>
                <w:szCs w:val="20"/>
                <w:lang w:eastAsia="fr-FR"/>
              </w:rPr>
            </w:pPr>
            <w:r w:rsidRPr="001D29E2">
              <w:rPr>
                <w:rFonts w:eastAsia="Times New Roman" w:cs="Arial"/>
                <w:b/>
                <w:bCs/>
                <w:color w:val="FFFFFF"/>
                <w:sz w:val="18"/>
                <w:szCs w:val="20"/>
                <w:lang w:eastAsia="fr-FR"/>
              </w:rPr>
              <w:t>CA 2016</w:t>
            </w:r>
          </w:p>
        </w:tc>
        <w:tc>
          <w:tcPr>
            <w:tcW w:w="943" w:type="pct"/>
            <w:tcBorders>
              <w:top w:val="nil"/>
              <w:left w:val="nil"/>
              <w:bottom w:val="nil"/>
              <w:right w:val="single" w:sz="4" w:space="0" w:color="auto"/>
            </w:tcBorders>
            <w:shd w:val="clear" w:color="FFFFFF" w:fill="1F497D"/>
            <w:noWrap/>
            <w:vAlign w:val="bottom"/>
            <w:hideMark/>
          </w:tcPr>
          <w:p w:rsidR="008423E6" w:rsidRPr="001D29E2" w:rsidRDefault="001D29E2" w:rsidP="00631FCD">
            <w:pPr>
              <w:spacing w:line="240" w:lineRule="auto"/>
              <w:jc w:val="center"/>
              <w:rPr>
                <w:rFonts w:eastAsia="Times New Roman" w:cs="Arial"/>
                <w:b/>
                <w:bCs/>
                <w:color w:val="FFFFFF"/>
                <w:sz w:val="18"/>
                <w:szCs w:val="20"/>
                <w:lang w:eastAsia="fr-FR"/>
              </w:rPr>
            </w:pPr>
            <w:r>
              <w:rPr>
                <w:rFonts w:eastAsia="Times New Roman" w:cs="Arial"/>
                <w:b/>
                <w:bCs/>
                <w:color w:val="FFFFFF"/>
                <w:sz w:val="18"/>
                <w:szCs w:val="20"/>
                <w:lang w:eastAsia="fr-FR"/>
              </w:rPr>
              <w:t>CA 2017</w:t>
            </w:r>
          </w:p>
        </w:tc>
      </w:tr>
      <w:tr w:rsidR="008423E6" w:rsidRPr="001D29E2" w:rsidTr="001D29E2">
        <w:trPr>
          <w:trHeight w:val="255"/>
        </w:trPr>
        <w:tc>
          <w:tcPr>
            <w:tcW w:w="3114" w:type="pct"/>
            <w:tcBorders>
              <w:top w:val="nil"/>
              <w:left w:val="single" w:sz="4" w:space="0" w:color="auto"/>
              <w:bottom w:val="nil"/>
              <w:right w:val="nil"/>
            </w:tcBorders>
            <w:shd w:val="clear" w:color="FFFFFF" w:fill="auto"/>
            <w:noWrap/>
            <w:vAlign w:val="bottom"/>
            <w:hideMark/>
          </w:tcPr>
          <w:p w:rsidR="008423E6" w:rsidRPr="001D29E2" w:rsidRDefault="008423E6" w:rsidP="004C067B">
            <w:pPr>
              <w:spacing w:line="240" w:lineRule="auto"/>
              <w:ind w:firstLineChars="100" w:firstLine="180"/>
              <w:jc w:val="left"/>
              <w:rPr>
                <w:rFonts w:eastAsia="Times New Roman" w:cs="Arial"/>
                <w:sz w:val="18"/>
                <w:szCs w:val="20"/>
                <w:lang w:eastAsia="fr-FR"/>
              </w:rPr>
            </w:pPr>
            <w:r w:rsidRPr="001D29E2">
              <w:rPr>
                <w:rFonts w:eastAsia="Times New Roman" w:cs="Arial"/>
                <w:sz w:val="18"/>
                <w:szCs w:val="20"/>
                <w:lang w:eastAsia="fr-FR"/>
              </w:rPr>
              <w:t>0191203005 - TRAVAUX POUR COMPTE DE TIERS (BRANCHEMENTS)</w:t>
            </w:r>
          </w:p>
        </w:tc>
        <w:tc>
          <w:tcPr>
            <w:tcW w:w="943" w:type="pct"/>
            <w:tcBorders>
              <w:top w:val="nil"/>
              <w:left w:val="nil"/>
              <w:bottom w:val="nil"/>
              <w:right w:val="nil"/>
            </w:tcBorders>
            <w:shd w:val="clear" w:color="FFFFFF" w:fill="auto"/>
            <w:vAlign w:val="bottom"/>
          </w:tcPr>
          <w:p w:rsidR="008423E6" w:rsidRPr="001D29E2" w:rsidRDefault="008423E6" w:rsidP="008423E6">
            <w:pPr>
              <w:spacing w:line="240" w:lineRule="auto"/>
              <w:jc w:val="left"/>
              <w:rPr>
                <w:rFonts w:eastAsia="Times New Roman" w:cs="Arial"/>
                <w:sz w:val="18"/>
                <w:szCs w:val="20"/>
                <w:lang w:eastAsia="fr-FR"/>
              </w:rPr>
            </w:pPr>
            <w:r w:rsidRPr="001D29E2">
              <w:rPr>
                <w:rFonts w:eastAsia="Times New Roman" w:cs="Arial"/>
                <w:sz w:val="18"/>
                <w:szCs w:val="20"/>
                <w:lang w:eastAsia="fr-FR"/>
              </w:rPr>
              <w:t xml:space="preserve">      517 884,18 € </w:t>
            </w:r>
          </w:p>
        </w:tc>
        <w:tc>
          <w:tcPr>
            <w:tcW w:w="943" w:type="pct"/>
            <w:tcBorders>
              <w:top w:val="nil"/>
              <w:left w:val="nil"/>
              <w:bottom w:val="nil"/>
              <w:right w:val="single" w:sz="4" w:space="0" w:color="auto"/>
            </w:tcBorders>
            <w:shd w:val="clear" w:color="FFFFFF" w:fill="auto"/>
            <w:noWrap/>
            <w:vAlign w:val="bottom"/>
          </w:tcPr>
          <w:p w:rsidR="008423E6" w:rsidRPr="001D29E2" w:rsidRDefault="00B01171" w:rsidP="00B01171">
            <w:pPr>
              <w:spacing w:line="240" w:lineRule="auto"/>
              <w:jc w:val="right"/>
              <w:rPr>
                <w:rFonts w:eastAsia="Times New Roman" w:cs="Arial"/>
                <w:sz w:val="18"/>
                <w:szCs w:val="20"/>
                <w:lang w:eastAsia="fr-FR"/>
              </w:rPr>
            </w:pPr>
            <w:r>
              <w:rPr>
                <w:rFonts w:eastAsia="Times New Roman" w:cs="Arial"/>
                <w:sz w:val="18"/>
                <w:szCs w:val="20"/>
                <w:lang w:eastAsia="fr-FR"/>
              </w:rPr>
              <w:t>777 797,31 €</w:t>
            </w:r>
          </w:p>
        </w:tc>
      </w:tr>
      <w:tr w:rsidR="008423E6" w:rsidRPr="001D29E2" w:rsidTr="001D29E2">
        <w:trPr>
          <w:trHeight w:val="255"/>
        </w:trPr>
        <w:tc>
          <w:tcPr>
            <w:tcW w:w="3114" w:type="pct"/>
            <w:tcBorders>
              <w:top w:val="nil"/>
              <w:left w:val="single" w:sz="4" w:space="0" w:color="auto"/>
              <w:bottom w:val="nil"/>
              <w:right w:val="nil"/>
            </w:tcBorders>
            <w:shd w:val="clear" w:color="FFFFFF" w:fill="auto"/>
            <w:noWrap/>
            <w:vAlign w:val="bottom"/>
            <w:hideMark/>
          </w:tcPr>
          <w:p w:rsidR="008423E6" w:rsidRPr="001D29E2" w:rsidRDefault="008423E6" w:rsidP="004C067B">
            <w:pPr>
              <w:spacing w:line="240" w:lineRule="auto"/>
              <w:ind w:firstLineChars="100" w:firstLine="180"/>
              <w:jc w:val="left"/>
              <w:rPr>
                <w:rFonts w:eastAsia="Times New Roman" w:cs="Arial"/>
                <w:sz w:val="18"/>
                <w:szCs w:val="20"/>
                <w:lang w:eastAsia="fr-FR"/>
              </w:rPr>
            </w:pPr>
            <w:r w:rsidRPr="001D29E2">
              <w:rPr>
                <w:rFonts w:eastAsia="Times New Roman" w:cs="Arial"/>
                <w:sz w:val="18"/>
                <w:szCs w:val="20"/>
                <w:lang w:eastAsia="fr-FR"/>
              </w:rPr>
              <w:t>0191213001 - REDEVANCES ET PARTICIPATIONS DIVERSES</w:t>
            </w:r>
          </w:p>
        </w:tc>
        <w:tc>
          <w:tcPr>
            <w:tcW w:w="943" w:type="pct"/>
            <w:tcBorders>
              <w:top w:val="nil"/>
              <w:left w:val="nil"/>
              <w:bottom w:val="nil"/>
              <w:right w:val="nil"/>
            </w:tcBorders>
            <w:shd w:val="clear" w:color="FFFFFF" w:fill="auto"/>
            <w:vAlign w:val="bottom"/>
          </w:tcPr>
          <w:p w:rsidR="008423E6" w:rsidRPr="001D29E2" w:rsidRDefault="008423E6" w:rsidP="008423E6">
            <w:pPr>
              <w:spacing w:line="240" w:lineRule="auto"/>
              <w:jc w:val="left"/>
              <w:rPr>
                <w:rFonts w:eastAsia="Times New Roman" w:cs="Arial"/>
                <w:sz w:val="18"/>
                <w:szCs w:val="20"/>
                <w:lang w:eastAsia="fr-FR"/>
              </w:rPr>
            </w:pPr>
            <w:r w:rsidRPr="001D29E2">
              <w:rPr>
                <w:rFonts w:eastAsia="Times New Roman" w:cs="Arial"/>
                <w:sz w:val="18"/>
                <w:szCs w:val="20"/>
                <w:lang w:eastAsia="fr-FR"/>
              </w:rPr>
              <w:t xml:space="preserve">   9 541 991,66 € </w:t>
            </w:r>
          </w:p>
        </w:tc>
        <w:tc>
          <w:tcPr>
            <w:tcW w:w="943" w:type="pct"/>
            <w:tcBorders>
              <w:top w:val="nil"/>
              <w:left w:val="nil"/>
              <w:bottom w:val="nil"/>
              <w:right w:val="single" w:sz="4" w:space="0" w:color="auto"/>
            </w:tcBorders>
            <w:shd w:val="clear" w:color="FFFFFF" w:fill="auto"/>
            <w:noWrap/>
            <w:vAlign w:val="bottom"/>
          </w:tcPr>
          <w:p w:rsidR="008423E6" w:rsidRPr="001D29E2" w:rsidRDefault="00B01171" w:rsidP="00B01171">
            <w:pPr>
              <w:spacing w:line="240" w:lineRule="auto"/>
              <w:jc w:val="right"/>
              <w:rPr>
                <w:rFonts w:eastAsia="Times New Roman" w:cs="Arial"/>
                <w:sz w:val="18"/>
                <w:szCs w:val="20"/>
                <w:lang w:eastAsia="fr-FR"/>
              </w:rPr>
            </w:pPr>
            <w:r>
              <w:rPr>
                <w:rFonts w:eastAsia="Times New Roman" w:cs="Arial"/>
                <w:sz w:val="18"/>
                <w:szCs w:val="20"/>
                <w:lang w:eastAsia="fr-FR"/>
              </w:rPr>
              <w:t>9 980 179,32 €</w:t>
            </w:r>
          </w:p>
        </w:tc>
      </w:tr>
      <w:tr w:rsidR="008423E6" w:rsidRPr="001D29E2" w:rsidTr="001D29E2">
        <w:trPr>
          <w:trHeight w:val="255"/>
        </w:trPr>
        <w:tc>
          <w:tcPr>
            <w:tcW w:w="3114" w:type="pct"/>
            <w:tcBorders>
              <w:top w:val="nil"/>
              <w:left w:val="single" w:sz="4" w:space="0" w:color="auto"/>
              <w:bottom w:val="single" w:sz="4" w:space="0" w:color="auto"/>
              <w:right w:val="nil"/>
            </w:tcBorders>
            <w:shd w:val="clear" w:color="FFFFFF" w:fill="BFBFBF"/>
            <w:noWrap/>
            <w:vAlign w:val="bottom"/>
            <w:hideMark/>
          </w:tcPr>
          <w:p w:rsidR="008423E6" w:rsidRPr="001D29E2" w:rsidRDefault="008423E6" w:rsidP="004C067B">
            <w:pPr>
              <w:spacing w:line="240" w:lineRule="auto"/>
              <w:jc w:val="left"/>
              <w:rPr>
                <w:rFonts w:eastAsia="Times New Roman" w:cs="Arial"/>
                <w:b/>
                <w:bCs/>
                <w:sz w:val="18"/>
                <w:szCs w:val="20"/>
                <w:lang w:eastAsia="fr-FR"/>
              </w:rPr>
            </w:pPr>
            <w:r w:rsidRPr="001D29E2">
              <w:rPr>
                <w:rFonts w:eastAsia="Times New Roman" w:cs="Arial"/>
                <w:b/>
                <w:bCs/>
                <w:sz w:val="18"/>
                <w:szCs w:val="20"/>
                <w:lang w:eastAsia="fr-FR"/>
              </w:rPr>
              <w:t>Total général</w:t>
            </w:r>
          </w:p>
        </w:tc>
        <w:tc>
          <w:tcPr>
            <w:tcW w:w="943" w:type="pct"/>
            <w:tcBorders>
              <w:top w:val="nil"/>
              <w:left w:val="nil"/>
              <w:bottom w:val="single" w:sz="4" w:space="0" w:color="auto"/>
              <w:right w:val="nil"/>
            </w:tcBorders>
            <w:shd w:val="clear" w:color="FFFFFF" w:fill="BFBFBF"/>
            <w:vAlign w:val="bottom"/>
          </w:tcPr>
          <w:p w:rsidR="008423E6" w:rsidRPr="001D29E2" w:rsidRDefault="008423E6" w:rsidP="008423E6">
            <w:pPr>
              <w:spacing w:line="240" w:lineRule="auto"/>
              <w:jc w:val="left"/>
              <w:rPr>
                <w:rFonts w:eastAsia="Times New Roman" w:cs="Arial"/>
                <w:b/>
                <w:bCs/>
                <w:sz w:val="18"/>
                <w:szCs w:val="20"/>
                <w:lang w:eastAsia="fr-FR"/>
              </w:rPr>
            </w:pPr>
            <w:r w:rsidRPr="001D29E2">
              <w:rPr>
                <w:rFonts w:eastAsia="Times New Roman" w:cs="Arial"/>
                <w:b/>
                <w:bCs/>
                <w:sz w:val="18"/>
                <w:szCs w:val="20"/>
                <w:lang w:eastAsia="fr-FR"/>
              </w:rPr>
              <w:t xml:space="preserve"> 10 059 875,84 € </w:t>
            </w:r>
          </w:p>
        </w:tc>
        <w:tc>
          <w:tcPr>
            <w:tcW w:w="943" w:type="pct"/>
            <w:tcBorders>
              <w:top w:val="nil"/>
              <w:left w:val="nil"/>
              <w:bottom w:val="single" w:sz="4" w:space="0" w:color="auto"/>
              <w:right w:val="nil"/>
            </w:tcBorders>
            <w:shd w:val="clear" w:color="FFFFFF" w:fill="BFBFBF"/>
            <w:noWrap/>
            <w:vAlign w:val="bottom"/>
          </w:tcPr>
          <w:p w:rsidR="008423E6" w:rsidRPr="001D29E2" w:rsidRDefault="00B01171" w:rsidP="00B01171">
            <w:pPr>
              <w:spacing w:line="240" w:lineRule="auto"/>
              <w:jc w:val="right"/>
              <w:rPr>
                <w:rFonts w:eastAsia="Times New Roman" w:cs="Arial"/>
                <w:b/>
                <w:bCs/>
                <w:sz w:val="18"/>
                <w:szCs w:val="20"/>
                <w:lang w:eastAsia="fr-FR"/>
              </w:rPr>
            </w:pPr>
            <w:r>
              <w:rPr>
                <w:rFonts w:eastAsia="Times New Roman" w:cs="Arial"/>
                <w:b/>
                <w:bCs/>
                <w:sz w:val="18"/>
                <w:szCs w:val="20"/>
                <w:lang w:eastAsia="fr-FR"/>
              </w:rPr>
              <w:t>10 757 976,63 e</w:t>
            </w:r>
          </w:p>
        </w:tc>
      </w:tr>
    </w:tbl>
    <w:p w:rsidR="00DA0BE4" w:rsidRPr="009E3423" w:rsidRDefault="00DA0BE4" w:rsidP="001F31CA">
      <w:pPr>
        <w:rPr>
          <w:highlight w:val="cyan"/>
        </w:rPr>
      </w:pPr>
    </w:p>
    <w:p w:rsidR="000F4F13" w:rsidRPr="000D4FD5" w:rsidRDefault="000F4F13" w:rsidP="000F4F13">
      <w:r w:rsidRPr="000D4FD5">
        <w:t>La collectivité effectue, à la demande des administrés, des travaux de raccordement d’assainissement sous le domaine public, entre le réseau et le regard de branchement situé en limite de propriété. Cette prestation de service donne lieu à remboursement auprès d’Est Ensemble dans les conditi</w:t>
      </w:r>
      <w:r w:rsidR="00C7509A">
        <w:t>ons prévues par l’article L1331-</w:t>
      </w:r>
      <w:r w:rsidRPr="000D4FD5">
        <w:t>2 du Code de la Santé Publique, et a généré en 201</w:t>
      </w:r>
      <w:r w:rsidR="00B01171">
        <w:t>7</w:t>
      </w:r>
      <w:r w:rsidR="000D4FD5" w:rsidRPr="000D4FD5">
        <w:t xml:space="preserve"> une recette de </w:t>
      </w:r>
      <w:r w:rsidR="00B01171">
        <w:t>778 K</w:t>
      </w:r>
      <w:r w:rsidRPr="000D4FD5">
        <w:t xml:space="preserve">€ sur le programme </w:t>
      </w:r>
      <w:r w:rsidRPr="000D4FD5">
        <w:rPr>
          <w:b/>
        </w:rPr>
        <w:t>« Gestion patrimoniale des réseaux d’assainissement </w:t>
      </w:r>
      <w:r w:rsidRPr="000D4FD5">
        <w:t xml:space="preserve">», contre </w:t>
      </w:r>
      <w:r w:rsidR="00B01171">
        <w:t>518 K</w:t>
      </w:r>
      <w:r w:rsidRPr="000D4FD5">
        <w:t>€ en 201</w:t>
      </w:r>
      <w:r w:rsidR="00B01171">
        <w:t>6</w:t>
      </w:r>
      <w:r w:rsidRPr="000D4FD5">
        <w:t>.</w:t>
      </w:r>
    </w:p>
    <w:p w:rsidR="000F4F13" w:rsidRPr="009E3423" w:rsidRDefault="000F4F13" w:rsidP="000F4F13">
      <w:pPr>
        <w:rPr>
          <w:highlight w:val="cyan"/>
        </w:rPr>
      </w:pPr>
    </w:p>
    <w:p w:rsidR="00C11F5E" w:rsidRDefault="000F4F13" w:rsidP="00DB2F2C">
      <w:r w:rsidRPr="00DB2F2C">
        <w:t xml:space="preserve">Le budget annexe assainissement bénéficie des </w:t>
      </w:r>
      <w:r w:rsidR="00DB2F2C" w:rsidRPr="00DB2F2C">
        <w:t xml:space="preserve">produits de diverses redevances </w:t>
      </w:r>
      <w:r w:rsidRPr="00DB2F2C">
        <w:t>inscrites sur le programme</w:t>
      </w:r>
      <w:r w:rsidRPr="00DB2F2C">
        <w:rPr>
          <w:b/>
        </w:rPr>
        <w:t xml:space="preserve"> « </w:t>
      </w:r>
      <w:r w:rsidR="00DB2F2C" w:rsidRPr="00DB2F2C">
        <w:rPr>
          <w:b/>
        </w:rPr>
        <w:t xml:space="preserve">redevances et participations » </w:t>
      </w:r>
      <w:r w:rsidR="00DB2F2C" w:rsidRPr="00DB2F2C">
        <w:t>qui intègre</w:t>
      </w:r>
      <w:r w:rsidR="00C11F5E">
        <w:t> :</w:t>
      </w:r>
    </w:p>
    <w:p w:rsidR="00C11F5E" w:rsidRDefault="00DB2F2C" w:rsidP="00C11F5E">
      <w:pPr>
        <w:pStyle w:val="Paragraphedeliste"/>
        <w:numPr>
          <w:ilvl w:val="0"/>
          <w:numId w:val="33"/>
        </w:numPr>
        <w:rPr>
          <w:rFonts w:ascii="Times New Roman" w:hAnsi="Times New Roman" w:cs="Times New Roman"/>
        </w:rPr>
      </w:pPr>
      <w:r w:rsidRPr="00C11F5E">
        <w:rPr>
          <w:u w:val="single"/>
        </w:rPr>
        <w:t>l</w:t>
      </w:r>
      <w:r w:rsidR="005D5374" w:rsidRPr="00C11F5E">
        <w:rPr>
          <w:u w:val="single"/>
        </w:rPr>
        <w:t>a redevance d’assainissement collectif</w:t>
      </w:r>
      <w:r w:rsidRPr="00B01171">
        <w:t>,</w:t>
      </w:r>
      <w:r w:rsidR="005D5374" w:rsidRPr="00B01171">
        <w:t xml:space="preserve"> </w:t>
      </w:r>
      <w:r w:rsidR="005D5374" w:rsidRPr="00DB2F2C">
        <w:t xml:space="preserve">principale ressource du budget </w:t>
      </w:r>
      <w:r w:rsidR="00B01171">
        <w:t>annexe assainissement. En 2017</w:t>
      </w:r>
      <w:r w:rsidRPr="00DB2F2C">
        <w:t>, le montan</w:t>
      </w:r>
      <w:r w:rsidR="00B01171">
        <w:t>t constaté sur cette redevance</w:t>
      </w:r>
      <w:r w:rsidRPr="00DB2F2C">
        <w:t xml:space="preserve"> atteint</w:t>
      </w:r>
      <w:r w:rsidR="00B01171">
        <w:t xml:space="preserve"> 9,0 M€ contre</w:t>
      </w:r>
      <w:r w:rsidRPr="00DB2F2C">
        <w:t xml:space="preserve"> 8,7M€ en 201</w:t>
      </w:r>
      <w:r w:rsidR="00B01171">
        <w:t>6</w:t>
      </w:r>
      <w:r w:rsidRPr="00DB2F2C">
        <w:t xml:space="preserve">. </w:t>
      </w:r>
      <w:r w:rsidR="005D5374" w:rsidRPr="00DB2F2C">
        <w:t xml:space="preserve">Les tarifs de </w:t>
      </w:r>
      <w:r w:rsidR="00B01171">
        <w:t xml:space="preserve">la redevance d’assainissement </w:t>
      </w:r>
      <w:r w:rsidR="005D5374" w:rsidRPr="00DB2F2C">
        <w:t>ont été harmonisés à l’échelle du territoire</w:t>
      </w:r>
      <w:r w:rsidR="00B01171">
        <w:t xml:space="preserve"> en 2017</w:t>
      </w:r>
      <w:r w:rsidR="005D5374" w:rsidRPr="00DB2F2C">
        <w:t xml:space="preserve"> et </w:t>
      </w:r>
      <w:r w:rsidR="00B01171">
        <w:t>s’élèvent en moyenne à 0,</w:t>
      </w:r>
      <w:r w:rsidR="005D5374" w:rsidRPr="00DB2F2C">
        <w:t>4</w:t>
      </w:r>
      <w:r w:rsidR="00B01171">
        <w:t>5</w:t>
      </w:r>
      <w:r w:rsidR="005D5374" w:rsidRPr="00DB2F2C">
        <w:t>€ par m</w:t>
      </w:r>
      <w:r w:rsidR="005D5374" w:rsidRPr="00C11F5E">
        <w:rPr>
          <w:rFonts w:ascii="Times New Roman" w:hAnsi="Times New Roman" w:cs="Times New Roman"/>
        </w:rPr>
        <w:t xml:space="preserve">ᶟ. </w:t>
      </w:r>
    </w:p>
    <w:p w:rsidR="00C11F5E" w:rsidRPr="00C11F5E" w:rsidRDefault="00DB2F2C" w:rsidP="003B2C1C">
      <w:pPr>
        <w:pStyle w:val="Paragraphedeliste"/>
        <w:numPr>
          <w:ilvl w:val="0"/>
          <w:numId w:val="33"/>
        </w:numPr>
        <w:rPr>
          <w:rFonts w:ascii="Times New Roman" w:hAnsi="Times New Roman" w:cs="Times New Roman"/>
        </w:rPr>
      </w:pPr>
      <w:r w:rsidRPr="00DB2F2C">
        <w:t xml:space="preserve">Parmi les participations, on compte également le </w:t>
      </w:r>
      <w:r w:rsidR="005D5374" w:rsidRPr="00C11F5E">
        <w:rPr>
          <w:u w:val="single"/>
        </w:rPr>
        <w:t>financement de la gestion des eaux pluvial</w:t>
      </w:r>
      <w:r w:rsidRPr="00C11F5E">
        <w:rPr>
          <w:u w:val="single"/>
        </w:rPr>
        <w:t>es</w:t>
      </w:r>
      <w:r w:rsidR="005D5374" w:rsidRPr="00C11F5E">
        <w:rPr>
          <w:u w:val="single"/>
        </w:rPr>
        <w:t xml:space="preserve"> </w:t>
      </w:r>
      <w:r w:rsidRPr="00C11F5E">
        <w:rPr>
          <w:u w:val="single"/>
        </w:rPr>
        <w:t>réalisé</w:t>
      </w:r>
      <w:r w:rsidR="005D5374" w:rsidRPr="00C11F5E">
        <w:rPr>
          <w:u w:val="single"/>
        </w:rPr>
        <w:t xml:space="preserve"> par le budget principal</w:t>
      </w:r>
      <w:r w:rsidR="005D5374" w:rsidRPr="00DB2F2C">
        <w:t xml:space="preserve"> à hauteur de </w:t>
      </w:r>
      <w:r w:rsidR="00B01171">
        <w:t xml:space="preserve">361 K€ contre </w:t>
      </w:r>
      <w:r w:rsidRPr="00DB2F2C">
        <w:t>35</w:t>
      </w:r>
      <w:r w:rsidR="00B01171">
        <w:t>9 K</w:t>
      </w:r>
      <w:r w:rsidRPr="00DB2F2C">
        <w:t>€ en 2016</w:t>
      </w:r>
      <w:r w:rsidR="005D5374" w:rsidRPr="00DB2F2C">
        <w:t xml:space="preserve">. En effet, la collecte et le traitement des eaux pluviales constituent un service public administratif à charge du budget général de la collectivité, contrairement à l’assainissement des eaux usées domestiques ou industrielles qui relèvent d’une mission de service public industriel et commercial. </w:t>
      </w:r>
    </w:p>
    <w:p w:rsidR="00C11F5E" w:rsidRPr="00C11F5E" w:rsidRDefault="005D5374" w:rsidP="003B2C1C">
      <w:pPr>
        <w:pStyle w:val="Paragraphedeliste"/>
        <w:numPr>
          <w:ilvl w:val="0"/>
          <w:numId w:val="33"/>
        </w:numPr>
        <w:rPr>
          <w:rFonts w:ascii="Times New Roman" w:hAnsi="Times New Roman" w:cs="Times New Roman"/>
        </w:rPr>
      </w:pPr>
      <w:r w:rsidRPr="00C11F5E">
        <w:rPr>
          <w:u w:val="single"/>
        </w:rPr>
        <w:t xml:space="preserve">La Participation pour le Financement de l’Assainissement Collectif (PFAC) </w:t>
      </w:r>
      <w:r w:rsidRPr="003B2C1C">
        <w:t>est une redevance exigible pour toute construction nouvelle donnant lieu à raccordement au réseau d’assainissement. Elle est perçue sur base des Permis de Construire, sous réserve qu’un raccor</w:t>
      </w:r>
      <w:r w:rsidR="003B2C1C">
        <w:t xml:space="preserve">dement effectif ait eu lieu. </w:t>
      </w:r>
      <w:r w:rsidRPr="003B2C1C">
        <w:t>En 201</w:t>
      </w:r>
      <w:r w:rsidR="00B01171">
        <w:t>7</w:t>
      </w:r>
      <w:r w:rsidRPr="003B2C1C">
        <w:t>, la PFAC a représenté une recette de</w:t>
      </w:r>
      <w:r w:rsidR="003B2C1C">
        <w:t xml:space="preserve"> </w:t>
      </w:r>
      <w:r w:rsidR="00B01171">
        <w:t xml:space="preserve">472 K€ contre </w:t>
      </w:r>
      <w:r w:rsidR="003B2C1C">
        <w:t>419</w:t>
      </w:r>
      <w:r w:rsidR="00B01171">
        <w:t xml:space="preserve"> K</w:t>
      </w:r>
      <w:r w:rsidR="003B2C1C">
        <w:t xml:space="preserve">€ </w:t>
      </w:r>
      <w:r w:rsidR="00B01171">
        <w:t>en 2016</w:t>
      </w:r>
      <w:r w:rsidRPr="003B2C1C">
        <w:t>.</w:t>
      </w:r>
    </w:p>
    <w:p w:rsidR="000F4F13" w:rsidRPr="00C11F5E" w:rsidRDefault="000F4F13" w:rsidP="003B2C1C">
      <w:pPr>
        <w:pStyle w:val="Paragraphedeliste"/>
        <w:numPr>
          <w:ilvl w:val="0"/>
          <w:numId w:val="33"/>
        </w:numPr>
        <w:rPr>
          <w:rFonts w:ascii="Times New Roman" w:hAnsi="Times New Roman" w:cs="Times New Roman"/>
        </w:rPr>
      </w:pPr>
      <w:r w:rsidRPr="00C11F5E">
        <w:rPr>
          <w:u w:val="single"/>
        </w:rPr>
        <w:t>Les Contrôles de Raccordement à l’Egout (CRAC)</w:t>
      </w:r>
      <w:r w:rsidRPr="003B2C1C">
        <w:t xml:space="preserve"> sont une prestation de service sollicitée par les administrés qui souhaitent disposer d’une attestation de raccordement à l’assainissement à l’occasion de mutations immobilières. Cette mission donne lieu à tarifi</w:t>
      </w:r>
      <w:r w:rsidR="003B2C1C">
        <w:t>cation depuis 2014 et a généré</w:t>
      </w:r>
      <w:r w:rsidR="00B01171">
        <w:t xml:space="preserve"> 65 K€ de recettes en 2017 contre </w:t>
      </w:r>
      <w:r w:rsidR="00B01171" w:rsidRPr="00B01171">
        <w:t>88</w:t>
      </w:r>
      <w:r w:rsidR="00B01171">
        <w:t> </w:t>
      </w:r>
      <w:r w:rsidR="00B01171" w:rsidRPr="00B01171">
        <w:t>K</w:t>
      </w:r>
      <w:r w:rsidR="003B2C1C">
        <w:t>€ en 201</w:t>
      </w:r>
      <w:r w:rsidR="00B01171">
        <w:t>6</w:t>
      </w:r>
      <w:r w:rsidRPr="003B2C1C">
        <w:t>.</w:t>
      </w:r>
    </w:p>
    <w:p w:rsidR="007D77A2" w:rsidRDefault="007D77A2">
      <w:pPr>
        <w:jc w:val="left"/>
        <w:rPr>
          <w:highlight w:val="cyan"/>
        </w:rPr>
      </w:pPr>
    </w:p>
    <w:p w:rsidR="00C11F5E" w:rsidRDefault="00C11F5E">
      <w:pPr>
        <w:jc w:val="left"/>
        <w:rPr>
          <w:rFonts w:eastAsiaTheme="majorEastAsia" w:cstheme="majorBidi"/>
          <w:bCs/>
          <w:color w:val="000000" w:themeColor="text1"/>
          <w:sz w:val="24"/>
          <w:u w:val="single"/>
        </w:rPr>
      </w:pPr>
      <w:r>
        <w:br w:type="page"/>
      </w:r>
    </w:p>
    <w:p w:rsidR="001F31CA" w:rsidRPr="003876AB" w:rsidRDefault="001F31CA" w:rsidP="001F31CA">
      <w:pPr>
        <w:pStyle w:val="Titre3"/>
        <w:jc w:val="left"/>
      </w:pPr>
      <w:bookmarkStart w:id="90" w:name="_Toc509490444"/>
      <w:r w:rsidRPr="003876AB">
        <w:lastRenderedPageBreak/>
        <w:t xml:space="preserve">Les dépenses </w:t>
      </w:r>
      <w:r w:rsidR="00070AF8" w:rsidRPr="003876AB">
        <w:t>d’exploitation</w:t>
      </w:r>
      <w:bookmarkEnd w:id="90"/>
    </w:p>
    <w:p w:rsidR="001F31CA" w:rsidRPr="003876AB" w:rsidRDefault="001F31CA" w:rsidP="001F31CA">
      <w:pPr>
        <w:jc w:val="center"/>
        <w:rPr>
          <w:rFonts w:ascii="Arial Narrow" w:hAnsi="Arial Narrow"/>
          <w:b/>
        </w:rPr>
      </w:pPr>
    </w:p>
    <w:p w:rsidR="001F31CA" w:rsidRPr="003876AB" w:rsidRDefault="001F31CA" w:rsidP="00B01171">
      <w:pPr>
        <w:pStyle w:val="Titre4"/>
        <w:numPr>
          <w:ilvl w:val="0"/>
          <w:numId w:val="25"/>
        </w:numPr>
      </w:pPr>
      <w:r w:rsidRPr="003876AB">
        <w:t xml:space="preserve">Les dépenses </w:t>
      </w:r>
      <w:r w:rsidR="00070AF8" w:rsidRPr="003876AB">
        <w:t>d'intervention</w:t>
      </w:r>
    </w:p>
    <w:p w:rsidR="00DA0BE4" w:rsidRPr="009E3423" w:rsidRDefault="00DA0BE4" w:rsidP="007541CB">
      <w:pPr>
        <w:rPr>
          <w:highlight w:val="cyan"/>
        </w:rPr>
      </w:pPr>
    </w:p>
    <w:tbl>
      <w:tblPr>
        <w:tblW w:w="10226" w:type="dxa"/>
        <w:tblInd w:w="5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6536"/>
        <w:gridCol w:w="1845"/>
        <w:gridCol w:w="1845"/>
      </w:tblGrid>
      <w:tr w:rsidR="008423E6" w:rsidRPr="001D29E2" w:rsidTr="002469C1">
        <w:trPr>
          <w:trHeight w:val="255"/>
        </w:trPr>
        <w:tc>
          <w:tcPr>
            <w:tcW w:w="6536" w:type="dxa"/>
            <w:shd w:val="clear" w:color="FFFFFF" w:fill="1F497D"/>
            <w:noWrap/>
            <w:vAlign w:val="bottom"/>
            <w:hideMark/>
          </w:tcPr>
          <w:p w:rsidR="008423E6" w:rsidRPr="001D29E2" w:rsidRDefault="008423E6" w:rsidP="0053072E">
            <w:pPr>
              <w:spacing w:line="240" w:lineRule="auto"/>
              <w:jc w:val="left"/>
              <w:rPr>
                <w:rFonts w:eastAsia="Times New Roman" w:cs="Arial"/>
                <w:b/>
                <w:bCs/>
                <w:color w:val="FFFFFF"/>
                <w:sz w:val="18"/>
                <w:szCs w:val="20"/>
                <w:lang w:eastAsia="fr-FR"/>
              </w:rPr>
            </w:pPr>
            <w:r w:rsidRPr="001D29E2">
              <w:rPr>
                <w:rFonts w:eastAsia="Times New Roman" w:cs="Arial"/>
                <w:b/>
                <w:bCs/>
                <w:color w:val="FFFFFF"/>
                <w:sz w:val="18"/>
                <w:szCs w:val="20"/>
                <w:lang w:eastAsia="fr-FR"/>
              </w:rPr>
              <w:t>Programme</w:t>
            </w:r>
          </w:p>
        </w:tc>
        <w:tc>
          <w:tcPr>
            <w:tcW w:w="1845" w:type="dxa"/>
            <w:shd w:val="clear" w:color="FFFFFF" w:fill="1F497D"/>
            <w:vAlign w:val="bottom"/>
          </w:tcPr>
          <w:p w:rsidR="008423E6" w:rsidRPr="001D29E2" w:rsidRDefault="008423E6" w:rsidP="00262C5C">
            <w:pPr>
              <w:spacing w:line="240" w:lineRule="auto"/>
              <w:jc w:val="center"/>
              <w:rPr>
                <w:rFonts w:eastAsia="Times New Roman" w:cs="Arial"/>
                <w:b/>
                <w:bCs/>
                <w:color w:val="FFFFFF"/>
                <w:sz w:val="18"/>
                <w:szCs w:val="20"/>
                <w:lang w:eastAsia="fr-FR"/>
              </w:rPr>
            </w:pPr>
            <w:r w:rsidRPr="001D29E2">
              <w:rPr>
                <w:rFonts w:eastAsia="Times New Roman" w:cs="Arial"/>
                <w:b/>
                <w:bCs/>
                <w:color w:val="FFFFFF"/>
                <w:sz w:val="18"/>
                <w:szCs w:val="20"/>
                <w:lang w:eastAsia="fr-FR"/>
              </w:rPr>
              <w:t>CA 2016</w:t>
            </w:r>
          </w:p>
        </w:tc>
        <w:tc>
          <w:tcPr>
            <w:tcW w:w="1845" w:type="dxa"/>
            <w:shd w:val="clear" w:color="FFFFFF" w:fill="1F497D"/>
            <w:noWrap/>
            <w:vAlign w:val="bottom"/>
            <w:hideMark/>
          </w:tcPr>
          <w:p w:rsidR="008423E6" w:rsidRPr="001D29E2" w:rsidRDefault="00262C5C" w:rsidP="00262C5C">
            <w:pPr>
              <w:spacing w:line="240" w:lineRule="auto"/>
              <w:jc w:val="center"/>
              <w:rPr>
                <w:rFonts w:eastAsia="Times New Roman" w:cs="Arial"/>
                <w:b/>
                <w:bCs/>
                <w:color w:val="FFFFFF"/>
                <w:sz w:val="18"/>
                <w:szCs w:val="20"/>
                <w:lang w:eastAsia="fr-FR"/>
              </w:rPr>
            </w:pPr>
            <w:r>
              <w:rPr>
                <w:rFonts w:eastAsia="Times New Roman" w:cs="Arial"/>
                <w:b/>
                <w:bCs/>
                <w:color w:val="FFFFFF"/>
                <w:sz w:val="18"/>
                <w:szCs w:val="20"/>
                <w:lang w:eastAsia="fr-FR"/>
              </w:rPr>
              <w:t>CA 2017</w:t>
            </w:r>
          </w:p>
        </w:tc>
      </w:tr>
      <w:tr w:rsidR="008423E6" w:rsidRPr="001D29E2" w:rsidTr="002469C1">
        <w:trPr>
          <w:trHeight w:val="255"/>
        </w:trPr>
        <w:tc>
          <w:tcPr>
            <w:tcW w:w="6536" w:type="dxa"/>
            <w:shd w:val="clear" w:color="FFFFFF" w:fill="auto"/>
            <w:noWrap/>
            <w:vAlign w:val="bottom"/>
            <w:hideMark/>
          </w:tcPr>
          <w:p w:rsidR="008423E6" w:rsidRPr="001D29E2" w:rsidRDefault="008423E6" w:rsidP="0053072E">
            <w:pPr>
              <w:spacing w:line="240" w:lineRule="auto"/>
              <w:jc w:val="left"/>
              <w:rPr>
                <w:rFonts w:eastAsia="Times New Roman" w:cs="Arial"/>
                <w:sz w:val="18"/>
                <w:szCs w:val="20"/>
                <w:lang w:eastAsia="fr-FR"/>
              </w:rPr>
            </w:pPr>
            <w:r w:rsidRPr="001D29E2">
              <w:rPr>
                <w:rFonts w:eastAsia="Times New Roman" w:cs="Arial"/>
                <w:sz w:val="18"/>
                <w:szCs w:val="20"/>
                <w:lang w:eastAsia="fr-FR"/>
              </w:rPr>
              <w:t>0191202 - LUTTE CONTRE LES INONDATIONS</w:t>
            </w:r>
          </w:p>
        </w:tc>
        <w:tc>
          <w:tcPr>
            <w:tcW w:w="1845" w:type="dxa"/>
            <w:shd w:val="clear" w:color="FFFFFF" w:fill="auto"/>
            <w:vAlign w:val="bottom"/>
          </w:tcPr>
          <w:p w:rsidR="008423E6" w:rsidRPr="001D29E2" w:rsidRDefault="008423E6" w:rsidP="008423E6">
            <w:pPr>
              <w:spacing w:line="240" w:lineRule="auto"/>
              <w:jc w:val="right"/>
              <w:rPr>
                <w:rFonts w:eastAsia="Times New Roman" w:cs="Arial"/>
                <w:sz w:val="18"/>
                <w:szCs w:val="20"/>
                <w:lang w:eastAsia="fr-FR"/>
              </w:rPr>
            </w:pPr>
            <w:r w:rsidRPr="001D29E2">
              <w:rPr>
                <w:rFonts w:eastAsia="Times New Roman" w:cs="Arial"/>
                <w:sz w:val="18"/>
                <w:szCs w:val="20"/>
                <w:lang w:eastAsia="fr-FR"/>
              </w:rPr>
              <w:t xml:space="preserve">      538 529,21 € </w:t>
            </w:r>
          </w:p>
        </w:tc>
        <w:tc>
          <w:tcPr>
            <w:tcW w:w="1845" w:type="dxa"/>
            <w:shd w:val="clear" w:color="FFFFFF" w:fill="auto"/>
            <w:noWrap/>
            <w:vAlign w:val="bottom"/>
          </w:tcPr>
          <w:p w:rsidR="008423E6" w:rsidRPr="001D29E2" w:rsidRDefault="002469C1" w:rsidP="0053072E">
            <w:pPr>
              <w:spacing w:line="240" w:lineRule="auto"/>
              <w:jc w:val="right"/>
              <w:rPr>
                <w:rFonts w:eastAsia="Times New Roman" w:cs="Arial"/>
                <w:sz w:val="18"/>
                <w:szCs w:val="20"/>
                <w:lang w:eastAsia="fr-FR"/>
              </w:rPr>
            </w:pPr>
            <w:r>
              <w:rPr>
                <w:rFonts w:eastAsia="Times New Roman" w:cs="Arial"/>
                <w:sz w:val="18"/>
                <w:szCs w:val="20"/>
                <w:lang w:eastAsia="fr-FR"/>
              </w:rPr>
              <w:t>2 825 688,19 €</w:t>
            </w:r>
          </w:p>
        </w:tc>
      </w:tr>
      <w:tr w:rsidR="008423E6" w:rsidRPr="001D29E2" w:rsidTr="002469C1">
        <w:trPr>
          <w:trHeight w:val="255"/>
        </w:trPr>
        <w:tc>
          <w:tcPr>
            <w:tcW w:w="6536" w:type="dxa"/>
            <w:shd w:val="clear" w:color="FFFFFF" w:fill="auto"/>
            <w:noWrap/>
            <w:vAlign w:val="bottom"/>
            <w:hideMark/>
          </w:tcPr>
          <w:p w:rsidR="008423E6" w:rsidRPr="001D29E2" w:rsidRDefault="008423E6" w:rsidP="0053072E">
            <w:pPr>
              <w:spacing w:line="240" w:lineRule="auto"/>
              <w:jc w:val="left"/>
              <w:rPr>
                <w:rFonts w:eastAsia="Times New Roman" w:cs="Arial"/>
                <w:sz w:val="18"/>
                <w:szCs w:val="20"/>
                <w:lang w:eastAsia="fr-FR"/>
              </w:rPr>
            </w:pPr>
            <w:r w:rsidRPr="001D29E2">
              <w:rPr>
                <w:rFonts w:eastAsia="Times New Roman" w:cs="Arial"/>
                <w:sz w:val="18"/>
                <w:szCs w:val="20"/>
                <w:lang w:eastAsia="fr-FR"/>
              </w:rPr>
              <w:t>0191203 - GESTION PATRIMONIALE DES RESEAUX ASSAINISSEMENT</w:t>
            </w:r>
          </w:p>
        </w:tc>
        <w:tc>
          <w:tcPr>
            <w:tcW w:w="1845" w:type="dxa"/>
            <w:shd w:val="clear" w:color="FFFFFF" w:fill="auto"/>
            <w:vAlign w:val="bottom"/>
          </w:tcPr>
          <w:p w:rsidR="008423E6" w:rsidRPr="001D29E2" w:rsidRDefault="008423E6" w:rsidP="008423E6">
            <w:pPr>
              <w:spacing w:line="240" w:lineRule="auto"/>
              <w:jc w:val="right"/>
              <w:rPr>
                <w:rFonts w:eastAsia="Times New Roman" w:cs="Arial"/>
                <w:sz w:val="18"/>
                <w:szCs w:val="20"/>
                <w:lang w:eastAsia="fr-FR"/>
              </w:rPr>
            </w:pPr>
            <w:r w:rsidRPr="001D29E2">
              <w:rPr>
                <w:rFonts w:eastAsia="Times New Roman" w:cs="Arial"/>
                <w:sz w:val="18"/>
                <w:szCs w:val="20"/>
                <w:lang w:eastAsia="fr-FR"/>
              </w:rPr>
              <w:t xml:space="preserve">   1 308 654,27 € </w:t>
            </w:r>
          </w:p>
        </w:tc>
        <w:tc>
          <w:tcPr>
            <w:tcW w:w="1845" w:type="dxa"/>
            <w:shd w:val="clear" w:color="FFFFFF" w:fill="auto"/>
            <w:noWrap/>
            <w:vAlign w:val="bottom"/>
          </w:tcPr>
          <w:p w:rsidR="008423E6" w:rsidRPr="001D29E2" w:rsidRDefault="002469C1" w:rsidP="0053072E">
            <w:pPr>
              <w:spacing w:line="240" w:lineRule="auto"/>
              <w:jc w:val="right"/>
              <w:rPr>
                <w:rFonts w:eastAsia="Times New Roman" w:cs="Arial"/>
                <w:sz w:val="18"/>
                <w:szCs w:val="20"/>
                <w:lang w:eastAsia="fr-FR"/>
              </w:rPr>
            </w:pPr>
            <w:r>
              <w:rPr>
                <w:rFonts w:eastAsia="Times New Roman" w:cs="Arial"/>
                <w:sz w:val="18"/>
                <w:szCs w:val="20"/>
                <w:lang w:eastAsia="fr-FR"/>
              </w:rPr>
              <w:t>1 120 831,92 €</w:t>
            </w:r>
          </w:p>
        </w:tc>
      </w:tr>
      <w:tr w:rsidR="008423E6" w:rsidRPr="001D29E2" w:rsidTr="002469C1">
        <w:trPr>
          <w:trHeight w:val="255"/>
        </w:trPr>
        <w:tc>
          <w:tcPr>
            <w:tcW w:w="6536" w:type="dxa"/>
            <w:shd w:val="clear" w:color="FFFFFF" w:fill="auto"/>
            <w:noWrap/>
            <w:vAlign w:val="bottom"/>
            <w:hideMark/>
          </w:tcPr>
          <w:p w:rsidR="008423E6" w:rsidRPr="001D29E2" w:rsidRDefault="008423E6" w:rsidP="0053072E">
            <w:pPr>
              <w:spacing w:line="240" w:lineRule="auto"/>
              <w:jc w:val="left"/>
              <w:rPr>
                <w:rFonts w:eastAsia="Times New Roman" w:cs="Arial"/>
                <w:sz w:val="18"/>
                <w:szCs w:val="20"/>
                <w:lang w:eastAsia="fr-FR"/>
              </w:rPr>
            </w:pPr>
            <w:r w:rsidRPr="001D29E2">
              <w:rPr>
                <w:rFonts w:eastAsia="Times New Roman" w:cs="Arial"/>
                <w:sz w:val="18"/>
                <w:szCs w:val="20"/>
                <w:lang w:eastAsia="fr-FR"/>
              </w:rPr>
              <w:t>0191204 - GESTION SOLIDAIRE DE L'EAU COMMUNICATION</w:t>
            </w:r>
          </w:p>
        </w:tc>
        <w:tc>
          <w:tcPr>
            <w:tcW w:w="1845" w:type="dxa"/>
            <w:shd w:val="clear" w:color="FFFFFF" w:fill="auto"/>
            <w:vAlign w:val="bottom"/>
          </w:tcPr>
          <w:p w:rsidR="008423E6" w:rsidRPr="001D29E2" w:rsidRDefault="008423E6" w:rsidP="008423E6">
            <w:pPr>
              <w:spacing w:line="240" w:lineRule="auto"/>
              <w:jc w:val="right"/>
              <w:rPr>
                <w:rFonts w:eastAsia="Times New Roman" w:cs="Arial"/>
                <w:sz w:val="18"/>
                <w:szCs w:val="20"/>
                <w:lang w:eastAsia="fr-FR"/>
              </w:rPr>
            </w:pPr>
            <w:r w:rsidRPr="001D29E2">
              <w:rPr>
                <w:rFonts w:eastAsia="Times New Roman" w:cs="Arial"/>
                <w:sz w:val="18"/>
                <w:szCs w:val="20"/>
                <w:lang w:eastAsia="fr-FR"/>
              </w:rPr>
              <w:t xml:space="preserve">       48 845,38 € </w:t>
            </w:r>
          </w:p>
        </w:tc>
        <w:tc>
          <w:tcPr>
            <w:tcW w:w="1845" w:type="dxa"/>
            <w:shd w:val="clear" w:color="FFFFFF" w:fill="auto"/>
            <w:noWrap/>
            <w:vAlign w:val="bottom"/>
          </w:tcPr>
          <w:p w:rsidR="008423E6" w:rsidRPr="001D29E2" w:rsidRDefault="002469C1" w:rsidP="0053072E">
            <w:pPr>
              <w:spacing w:line="240" w:lineRule="auto"/>
              <w:jc w:val="right"/>
              <w:rPr>
                <w:rFonts w:eastAsia="Times New Roman" w:cs="Arial"/>
                <w:sz w:val="18"/>
                <w:szCs w:val="20"/>
                <w:lang w:eastAsia="fr-FR"/>
              </w:rPr>
            </w:pPr>
            <w:r>
              <w:rPr>
                <w:rFonts w:eastAsia="Times New Roman" w:cs="Arial"/>
                <w:sz w:val="18"/>
                <w:szCs w:val="20"/>
                <w:lang w:eastAsia="fr-FR"/>
              </w:rPr>
              <w:t>55 507,49 €</w:t>
            </w:r>
          </w:p>
        </w:tc>
      </w:tr>
      <w:tr w:rsidR="008423E6" w:rsidRPr="001D29E2" w:rsidTr="002469C1">
        <w:trPr>
          <w:trHeight w:val="255"/>
        </w:trPr>
        <w:tc>
          <w:tcPr>
            <w:tcW w:w="6536" w:type="dxa"/>
            <w:shd w:val="clear" w:color="FFFFFF" w:fill="auto"/>
            <w:noWrap/>
            <w:vAlign w:val="bottom"/>
            <w:hideMark/>
          </w:tcPr>
          <w:p w:rsidR="008423E6" w:rsidRPr="001D29E2" w:rsidRDefault="008423E6" w:rsidP="0053072E">
            <w:pPr>
              <w:spacing w:line="240" w:lineRule="auto"/>
              <w:jc w:val="left"/>
              <w:rPr>
                <w:rFonts w:eastAsia="Times New Roman" w:cs="Arial"/>
                <w:sz w:val="18"/>
                <w:szCs w:val="20"/>
                <w:lang w:eastAsia="fr-FR"/>
              </w:rPr>
            </w:pPr>
            <w:r w:rsidRPr="001D29E2">
              <w:rPr>
                <w:rFonts w:eastAsia="Times New Roman" w:cs="Arial"/>
                <w:sz w:val="18"/>
                <w:szCs w:val="20"/>
                <w:lang w:eastAsia="fr-FR"/>
              </w:rPr>
              <w:t>0191213 - REDEVANCES ET PARTICIPATIONS</w:t>
            </w:r>
          </w:p>
        </w:tc>
        <w:tc>
          <w:tcPr>
            <w:tcW w:w="1845" w:type="dxa"/>
            <w:shd w:val="clear" w:color="FFFFFF" w:fill="auto"/>
            <w:vAlign w:val="bottom"/>
          </w:tcPr>
          <w:p w:rsidR="008423E6" w:rsidRPr="001D29E2" w:rsidRDefault="008423E6" w:rsidP="008423E6">
            <w:pPr>
              <w:spacing w:line="240" w:lineRule="auto"/>
              <w:jc w:val="right"/>
              <w:rPr>
                <w:rFonts w:eastAsia="Times New Roman" w:cs="Arial"/>
                <w:sz w:val="18"/>
                <w:szCs w:val="20"/>
                <w:lang w:eastAsia="fr-FR"/>
              </w:rPr>
            </w:pPr>
            <w:r w:rsidRPr="001D29E2">
              <w:rPr>
                <w:rFonts w:eastAsia="Times New Roman" w:cs="Arial"/>
                <w:sz w:val="18"/>
                <w:szCs w:val="20"/>
                <w:lang w:eastAsia="fr-FR"/>
              </w:rPr>
              <w:t xml:space="preserve">      146 200,00 € </w:t>
            </w:r>
          </w:p>
        </w:tc>
        <w:tc>
          <w:tcPr>
            <w:tcW w:w="1845" w:type="dxa"/>
            <w:shd w:val="clear" w:color="FFFFFF" w:fill="auto"/>
            <w:noWrap/>
            <w:vAlign w:val="bottom"/>
          </w:tcPr>
          <w:p w:rsidR="008423E6" w:rsidRPr="001D29E2" w:rsidRDefault="002469C1" w:rsidP="0053072E">
            <w:pPr>
              <w:spacing w:line="240" w:lineRule="auto"/>
              <w:jc w:val="right"/>
              <w:rPr>
                <w:rFonts w:eastAsia="Times New Roman" w:cs="Arial"/>
                <w:sz w:val="18"/>
                <w:szCs w:val="20"/>
                <w:lang w:eastAsia="fr-FR"/>
              </w:rPr>
            </w:pPr>
            <w:r>
              <w:rPr>
                <w:rFonts w:eastAsia="Times New Roman" w:cs="Arial"/>
                <w:sz w:val="18"/>
                <w:szCs w:val="20"/>
                <w:lang w:eastAsia="fr-FR"/>
              </w:rPr>
              <w:t>145 052,80 €</w:t>
            </w:r>
          </w:p>
        </w:tc>
      </w:tr>
      <w:tr w:rsidR="008423E6" w:rsidRPr="001D29E2" w:rsidTr="002469C1">
        <w:trPr>
          <w:trHeight w:val="255"/>
        </w:trPr>
        <w:tc>
          <w:tcPr>
            <w:tcW w:w="6536" w:type="dxa"/>
            <w:shd w:val="clear" w:color="FFFFFF" w:fill="auto"/>
            <w:noWrap/>
            <w:vAlign w:val="bottom"/>
            <w:hideMark/>
          </w:tcPr>
          <w:p w:rsidR="008423E6" w:rsidRPr="001D29E2" w:rsidRDefault="008423E6" w:rsidP="0053072E">
            <w:pPr>
              <w:spacing w:line="240" w:lineRule="auto"/>
              <w:jc w:val="left"/>
              <w:rPr>
                <w:rFonts w:eastAsia="Times New Roman" w:cs="Arial"/>
                <w:sz w:val="18"/>
                <w:szCs w:val="20"/>
                <w:lang w:eastAsia="fr-FR"/>
              </w:rPr>
            </w:pPr>
            <w:r w:rsidRPr="001D29E2">
              <w:rPr>
                <w:rFonts w:eastAsia="Times New Roman" w:cs="Arial"/>
                <w:sz w:val="18"/>
                <w:szCs w:val="20"/>
                <w:lang w:eastAsia="fr-FR"/>
              </w:rPr>
              <w:t>0111205 - REGULARISATIONS</w:t>
            </w:r>
          </w:p>
        </w:tc>
        <w:tc>
          <w:tcPr>
            <w:tcW w:w="1845" w:type="dxa"/>
            <w:shd w:val="clear" w:color="FFFFFF" w:fill="auto"/>
            <w:vAlign w:val="bottom"/>
          </w:tcPr>
          <w:p w:rsidR="008423E6" w:rsidRPr="001D29E2" w:rsidRDefault="008423E6" w:rsidP="008423E6">
            <w:pPr>
              <w:spacing w:line="240" w:lineRule="auto"/>
              <w:jc w:val="right"/>
              <w:rPr>
                <w:rFonts w:eastAsia="Times New Roman" w:cs="Arial"/>
                <w:sz w:val="18"/>
                <w:szCs w:val="20"/>
                <w:lang w:eastAsia="fr-FR"/>
              </w:rPr>
            </w:pPr>
            <w:r w:rsidRPr="001D29E2">
              <w:rPr>
                <w:rFonts w:eastAsia="Times New Roman" w:cs="Arial"/>
                <w:sz w:val="18"/>
                <w:szCs w:val="20"/>
                <w:lang w:eastAsia="fr-FR"/>
              </w:rPr>
              <w:t xml:space="preserve">         7 636,03 € </w:t>
            </w:r>
          </w:p>
        </w:tc>
        <w:tc>
          <w:tcPr>
            <w:tcW w:w="1845" w:type="dxa"/>
            <w:shd w:val="clear" w:color="FFFFFF" w:fill="auto"/>
            <w:noWrap/>
            <w:vAlign w:val="bottom"/>
          </w:tcPr>
          <w:p w:rsidR="008423E6" w:rsidRPr="001D29E2" w:rsidRDefault="002469C1" w:rsidP="0053072E">
            <w:pPr>
              <w:spacing w:line="240" w:lineRule="auto"/>
              <w:jc w:val="right"/>
              <w:rPr>
                <w:rFonts w:eastAsia="Times New Roman" w:cs="Arial"/>
                <w:sz w:val="18"/>
                <w:szCs w:val="20"/>
                <w:lang w:eastAsia="fr-FR"/>
              </w:rPr>
            </w:pPr>
            <w:r>
              <w:rPr>
                <w:rFonts w:eastAsia="Times New Roman" w:cs="Arial"/>
                <w:sz w:val="18"/>
                <w:szCs w:val="20"/>
                <w:lang w:eastAsia="fr-FR"/>
              </w:rPr>
              <w:t>75 565,01 €</w:t>
            </w:r>
          </w:p>
        </w:tc>
      </w:tr>
      <w:tr w:rsidR="008423E6" w:rsidRPr="001D29E2" w:rsidTr="002469C1">
        <w:trPr>
          <w:trHeight w:val="255"/>
        </w:trPr>
        <w:tc>
          <w:tcPr>
            <w:tcW w:w="6536" w:type="dxa"/>
            <w:shd w:val="clear" w:color="FFFFFF" w:fill="BFBFBF"/>
            <w:noWrap/>
            <w:vAlign w:val="bottom"/>
            <w:hideMark/>
          </w:tcPr>
          <w:p w:rsidR="008423E6" w:rsidRPr="001D29E2" w:rsidRDefault="008423E6" w:rsidP="0053072E">
            <w:pPr>
              <w:spacing w:line="240" w:lineRule="auto"/>
              <w:jc w:val="left"/>
              <w:rPr>
                <w:rFonts w:eastAsia="Times New Roman" w:cs="Arial"/>
                <w:b/>
                <w:bCs/>
                <w:sz w:val="18"/>
                <w:szCs w:val="20"/>
                <w:lang w:eastAsia="fr-FR"/>
              </w:rPr>
            </w:pPr>
            <w:r w:rsidRPr="001D29E2">
              <w:rPr>
                <w:rFonts w:eastAsia="Times New Roman" w:cs="Arial"/>
                <w:b/>
                <w:bCs/>
                <w:sz w:val="18"/>
                <w:szCs w:val="20"/>
                <w:lang w:eastAsia="fr-FR"/>
              </w:rPr>
              <w:t>Total général</w:t>
            </w:r>
          </w:p>
        </w:tc>
        <w:tc>
          <w:tcPr>
            <w:tcW w:w="1845" w:type="dxa"/>
            <w:shd w:val="clear" w:color="FFFFFF" w:fill="BFBFBF"/>
            <w:vAlign w:val="bottom"/>
          </w:tcPr>
          <w:p w:rsidR="008423E6" w:rsidRPr="001D29E2" w:rsidRDefault="008423E6" w:rsidP="008423E6">
            <w:pPr>
              <w:spacing w:line="240" w:lineRule="auto"/>
              <w:jc w:val="right"/>
              <w:rPr>
                <w:rFonts w:eastAsia="Times New Roman" w:cs="Arial"/>
                <w:b/>
                <w:bCs/>
                <w:sz w:val="18"/>
                <w:szCs w:val="20"/>
                <w:lang w:eastAsia="fr-FR"/>
              </w:rPr>
            </w:pPr>
            <w:r w:rsidRPr="001D29E2">
              <w:rPr>
                <w:rFonts w:eastAsia="Times New Roman" w:cs="Arial"/>
                <w:b/>
                <w:bCs/>
                <w:sz w:val="18"/>
                <w:szCs w:val="20"/>
                <w:lang w:eastAsia="fr-FR"/>
              </w:rPr>
              <w:t xml:space="preserve">   2 049 864,89 € </w:t>
            </w:r>
          </w:p>
        </w:tc>
        <w:tc>
          <w:tcPr>
            <w:tcW w:w="1845" w:type="dxa"/>
            <w:shd w:val="clear" w:color="FFFFFF" w:fill="BFBFBF"/>
            <w:noWrap/>
            <w:vAlign w:val="bottom"/>
          </w:tcPr>
          <w:p w:rsidR="008423E6" w:rsidRPr="001D29E2" w:rsidRDefault="002469C1" w:rsidP="0053072E">
            <w:pPr>
              <w:spacing w:line="240" w:lineRule="auto"/>
              <w:jc w:val="right"/>
              <w:rPr>
                <w:rFonts w:eastAsia="Times New Roman" w:cs="Arial"/>
                <w:b/>
                <w:bCs/>
                <w:sz w:val="18"/>
                <w:szCs w:val="20"/>
                <w:lang w:eastAsia="fr-FR"/>
              </w:rPr>
            </w:pPr>
            <w:r>
              <w:rPr>
                <w:rFonts w:eastAsia="Times New Roman" w:cs="Arial"/>
                <w:b/>
                <w:bCs/>
                <w:sz w:val="18"/>
                <w:szCs w:val="20"/>
                <w:lang w:eastAsia="fr-FR"/>
              </w:rPr>
              <w:t>4 222 645,41 €</w:t>
            </w:r>
          </w:p>
        </w:tc>
      </w:tr>
    </w:tbl>
    <w:p w:rsidR="00DA0BE4" w:rsidRPr="009E3423" w:rsidRDefault="00DA0BE4" w:rsidP="007541CB">
      <w:pPr>
        <w:rPr>
          <w:highlight w:val="cyan"/>
        </w:rPr>
      </w:pPr>
    </w:p>
    <w:p w:rsidR="00271A70" w:rsidRDefault="00271A70" w:rsidP="002469C1">
      <w:pPr>
        <w:pStyle w:val="Listecouleur-Accent11"/>
        <w:numPr>
          <w:ilvl w:val="0"/>
          <w:numId w:val="0"/>
        </w:numPr>
        <w:spacing w:line="276" w:lineRule="auto"/>
        <w:rPr>
          <w:b w:val="0"/>
        </w:rPr>
      </w:pPr>
      <w:r w:rsidRPr="003876AB">
        <w:rPr>
          <w:b w:val="0"/>
        </w:rPr>
        <w:t xml:space="preserve">Les dépenses d’intervention ont pour principal objet l’entretien préventif des avaloirs permettant la collecte des eaux pluviales et plus largement celui des réseaux d’assainissement via différentes missions d’inspection, de curage, de dératisation, etc. </w:t>
      </w:r>
      <w:r w:rsidR="003876AB" w:rsidRPr="003876AB">
        <w:rPr>
          <w:b w:val="0"/>
        </w:rPr>
        <w:t>En 201</w:t>
      </w:r>
      <w:r w:rsidR="002469C1">
        <w:rPr>
          <w:b w:val="0"/>
        </w:rPr>
        <w:t>7</w:t>
      </w:r>
      <w:r w:rsidR="003876AB" w:rsidRPr="003876AB">
        <w:rPr>
          <w:b w:val="0"/>
        </w:rPr>
        <w:t xml:space="preserve">, on constate une </w:t>
      </w:r>
      <w:r w:rsidR="002469C1">
        <w:rPr>
          <w:b w:val="0"/>
        </w:rPr>
        <w:t xml:space="preserve">forte progression des dépenses d’intervention (+106%) qui s’explique principalement par le versement </w:t>
      </w:r>
      <w:r w:rsidR="002469C1" w:rsidRPr="002469C1">
        <w:rPr>
          <w:b w:val="0"/>
        </w:rPr>
        <w:t xml:space="preserve">de la subvention pour le bassin de rétention de la Fontaine des </w:t>
      </w:r>
      <w:proofErr w:type="spellStart"/>
      <w:r w:rsidR="002469C1" w:rsidRPr="002469C1">
        <w:rPr>
          <w:b w:val="0"/>
        </w:rPr>
        <w:t>Hanots</w:t>
      </w:r>
      <w:proofErr w:type="spellEnd"/>
      <w:r w:rsidR="00627D28">
        <w:rPr>
          <w:b w:val="0"/>
        </w:rPr>
        <w:t xml:space="preserve"> (2,2 M€)</w:t>
      </w:r>
      <w:r w:rsidR="00373BB1">
        <w:rPr>
          <w:b w:val="0"/>
        </w:rPr>
        <w:t>, imputée sur le programme lutte contre les inondations</w:t>
      </w:r>
      <w:r w:rsidR="00627D28">
        <w:rPr>
          <w:b w:val="0"/>
        </w:rPr>
        <w:t>. En retraitant cette dépense, on constate une stabilité du montant global des dépenses d’intervention (2,03 M€ en 2017 contre 2,05 M€ en 2016).</w:t>
      </w:r>
      <w:r w:rsidR="00373BB1">
        <w:rPr>
          <w:b w:val="0"/>
        </w:rPr>
        <w:t xml:space="preserve"> Il convient enfin de noter la poursuite de l’effort sur les autres actions de lutte contre les inondations, qui progressent de +17% (632 K€ en 2017 contre 539 K€ en 2016).</w:t>
      </w:r>
    </w:p>
    <w:p w:rsidR="002469C1" w:rsidRPr="009E3423" w:rsidRDefault="002469C1" w:rsidP="002469C1">
      <w:pPr>
        <w:pStyle w:val="Listecouleur-Accent11"/>
        <w:numPr>
          <w:ilvl w:val="0"/>
          <w:numId w:val="0"/>
        </w:numPr>
        <w:spacing w:line="276" w:lineRule="auto"/>
        <w:rPr>
          <w:highlight w:val="cyan"/>
        </w:rPr>
      </w:pPr>
    </w:p>
    <w:p w:rsidR="00DA0BE4" w:rsidRPr="003876AB" w:rsidRDefault="00DA0BE4" w:rsidP="00B01171">
      <w:pPr>
        <w:pStyle w:val="Titre4"/>
      </w:pPr>
      <w:r w:rsidRPr="003876AB">
        <w:t>La charge d’intérêt de la dette</w:t>
      </w:r>
    </w:p>
    <w:p w:rsidR="00DA0BE4" w:rsidRPr="009E3423" w:rsidRDefault="00DA0BE4" w:rsidP="007541CB">
      <w:pPr>
        <w:rPr>
          <w:highlight w:val="cyan"/>
        </w:rPr>
      </w:pPr>
    </w:p>
    <w:tbl>
      <w:tblPr>
        <w:tblW w:w="5072"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6289"/>
        <w:gridCol w:w="1815"/>
        <w:gridCol w:w="1815"/>
      </w:tblGrid>
      <w:tr w:rsidR="008423E6" w:rsidRPr="001D29E2" w:rsidTr="008423E6">
        <w:trPr>
          <w:trHeight w:val="255"/>
        </w:trPr>
        <w:tc>
          <w:tcPr>
            <w:tcW w:w="3170" w:type="pct"/>
            <w:shd w:val="clear" w:color="FFFFFF" w:fill="1F497D"/>
            <w:noWrap/>
            <w:vAlign w:val="bottom"/>
            <w:hideMark/>
          </w:tcPr>
          <w:p w:rsidR="008423E6" w:rsidRPr="001D29E2" w:rsidRDefault="008423E6" w:rsidP="0053072E">
            <w:pPr>
              <w:spacing w:line="240" w:lineRule="auto"/>
              <w:jc w:val="left"/>
              <w:rPr>
                <w:rFonts w:eastAsia="Times New Roman" w:cs="Arial"/>
                <w:b/>
                <w:bCs/>
                <w:color w:val="FFFFFF"/>
                <w:sz w:val="18"/>
                <w:szCs w:val="20"/>
                <w:lang w:eastAsia="fr-FR"/>
              </w:rPr>
            </w:pPr>
            <w:r w:rsidRPr="001D29E2">
              <w:rPr>
                <w:rFonts w:eastAsia="Times New Roman" w:cs="Arial"/>
                <w:b/>
                <w:bCs/>
                <w:color w:val="FFFFFF"/>
                <w:sz w:val="18"/>
                <w:szCs w:val="20"/>
                <w:lang w:eastAsia="fr-FR"/>
              </w:rPr>
              <w:t>Programme</w:t>
            </w:r>
          </w:p>
        </w:tc>
        <w:tc>
          <w:tcPr>
            <w:tcW w:w="915" w:type="pct"/>
            <w:shd w:val="clear" w:color="FFFFFF" w:fill="1F497D"/>
            <w:vAlign w:val="bottom"/>
          </w:tcPr>
          <w:p w:rsidR="008423E6" w:rsidRPr="001D29E2" w:rsidRDefault="008423E6" w:rsidP="00262C5C">
            <w:pPr>
              <w:spacing w:line="240" w:lineRule="auto"/>
              <w:jc w:val="center"/>
              <w:rPr>
                <w:rFonts w:eastAsia="Times New Roman" w:cs="Arial"/>
                <w:b/>
                <w:bCs/>
                <w:color w:val="FFFFFF"/>
                <w:sz w:val="18"/>
                <w:szCs w:val="20"/>
                <w:lang w:eastAsia="fr-FR"/>
              </w:rPr>
            </w:pPr>
            <w:r w:rsidRPr="001D29E2">
              <w:rPr>
                <w:rFonts w:eastAsia="Times New Roman" w:cs="Arial"/>
                <w:b/>
                <w:bCs/>
                <w:color w:val="FFFFFF"/>
                <w:sz w:val="18"/>
                <w:szCs w:val="20"/>
                <w:lang w:eastAsia="fr-FR"/>
              </w:rPr>
              <w:t>CA 2016</w:t>
            </w:r>
          </w:p>
        </w:tc>
        <w:tc>
          <w:tcPr>
            <w:tcW w:w="915" w:type="pct"/>
            <w:shd w:val="clear" w:color="FFFFFF" w:fill="1F497D"/>
            <w:noWrap/>
            <w:vAlign w:val="bottom"/>
            <w:hideMark/>
          </w:tcPr>
          <w:p w:rsidR="008423E6" w:rsidRPr="001D29E2" w:rsidRDefault="00262C5C" w:rsidP="00262C5C">
            <w:pPr>
              <w:spacing w:line="240" w:lineRule="auto"/>
              <w:jc w:val="center"/>
              <w:rPr>
                <w:rFonts w:eastAsia="Times New Roman" w:cs="Arial"/>
                <w:b/>
                <w:bCs/>
                <w:color w:val="FFFFFF"/>
                <w:sz w:val="18"/>
                <w:szCs w:val="20"/>
                <w:lang w:eastAsia="fr-FR"/>
              </w:rPr>
            </w:pPr>
            <w:r>
              <w:rPr>
                <w:rFonts w:eastAsia="Times New Roman" w:cs="Arial"/>
                <w:b/>
                <w:bCs/>
                <w:color w:val="FFFFFF"/>
                <w:sz w:val="18"/>
                <w:szCs w:val="20"/>
                <w:lang w:eastAsia="fr-FR"/>
              </w:rPr>
              <w:t>CA 2017</w:t>
            </w:r>
          </w:p>
        </w:tc>
      </w:tr>
      <w:tr w:rsidR="008423E6" w:rsidRPr="001D29E2" w:rsidTr="008423E6">
        <w:trPr>
          <w:trHeight w:val="255"/>
        </w:trPr>
        <w:tc>
          <w:tcPr>
            <w:tcW w:w="3170" w:type="pct"/>
            <w:shd w:val="clear" w:color="FFFFFF" w:fill="auto"/>
            <w:noWrap/>
            <w:vAlign w:val="bottom"/>
            <w:hideMark/>
          </w:tcPr>
          <w:p w:rsidR="008423E6" w:rsidRPr="001D29E2" w:rsidRDefault="008423E6" w:rsidP="0053072E">
            <w:pPr>
              <w:spacing w:line="240" w:lineRule="auto"/>
              <w:jc w:val="left"/>
              <w:rPr>
                <w:rFonts w:eastAsia="Times New Roman" w:cs="Arial"/>
                <w:sz w:val="18"/>
                <w:szCs w:val="20"/>
                <w:lang w:eastAsia="fr-FR"/>
              </w:rPr>
            </w:pPr>
            <w:r w:rsidRPr="001D29E2">
              <w:rPr>
                <w:rFonts w:eastAsia="Times New Roman" w:cs="Arial"/>
                <w:sz w:val="18"/>
                <w:szCs w:val="20"/>
                <w:lang w:eastAsia="fr-FR"/>
              </w:rPr>
              <w:t>0191211 - GESTION ACTIVE DE LA DETTE</w:t>
            </w:r>
          </w:p>
        </w:tc>
        <w:tc>
          <w:tcPr>
            <w:tcW w:w="915" w:type="pct"/>
            <w:shd w:val="clear" w:color="FFFFFF" w:fill="auto"/>
            <w:vAlign w:val="bottom"/>
          </w:tcPr>
          <w:p w:rsidR="008423E6" w:rsidRPr="001D29E2" w:rsidRDefault="008423E6" w:rsidP="0019405A">
            <w:pPr>
              <w:spacing w:line="240" w:lineRule="auto"/>
              <w:jc w:val="right"/>
              <w:rPr>
                <w:rFonts w:eastAsia="Times New Roman" w:cs="Arial"/>
                <w:sz w:val="18"/>
                <w:szCs w:val="20"/>
                <w:lang w:eastAsia="fr-FR"/>
              </w:rPr>
            </w:pPr>
            <w:r w:rsidRPr="001D29E2">
              <w:rPr>
                <w:rFonts w:eastAsia="Times New Roman" w:cs="Arial"/>
                <w:sz w:val="18"/>
                <w:szCs w:val="20"/>
                <w:lang w:eastAsia="fr-FR"/>
              </w:rPr>
              <w:t xml:space="preserve">      256 583,69 € </w:t>
            </w:r>
          </w:p>
        </w:tc>
        <w:tc>
          <w:tcPr>
            <w:tcW w:w="915" w:type="pct"/>
            <w:shd w:val="clear" w:color="FFFFFF" w:fill="auto"/>
            <w:noWrap/>
            <w:vAlign w:val="bottom"/>
            <w:hideMark/>
          </w:tcPr>
          <w:p w:rsidR="008423E6" w:rsidRPr="001D29E2" w:rsidRDefault="0019405A" w:rsidP="0019405A">
            <w:pPr>
              <w:spacing w:line="240" w:lineRule="auto"/>
              <w:jc w:val="right"/>
              <w:rPr>
                <w:rFonts w:eastAsia="Times New Roman" w:cs="Arial"/>
                <w:sz w:val="18"/>
                <w:szCs w:val="20"/>
                <w:lang w:eastAsia="fr-FR"/>
              </w:rPr>
            </w:pPr>
            <w:r>
              <w:rPr>
                <w:rFonts w:eastAsia="Times New Roman" w:cs="Arial"/>
                <w:sz w:val="18"/>
                <w:szCs w:val="20"/>
                <w:lang w:eastAsia="fr-FR"/>
              </w:rPr>
              <w:t>264 257,70 €</w:t>
            </w:r>
          </w:p>
        </w:tc>
      </w:tr>
    </w:tbl>
    <w:p w:rsidR="0053072E" w:rsidRDefault="0053072E" w:rsidP="007541CB">
      <w:pPr>
        <w:rPr>
          <w:highlight w:val="cyan"/>
        </w:rPr>
      </w:pPr>
    </w:p>
    <w:p w:rsidR="005926C9" w:rsidRPr="003876AB" w:rsidRDefault="0019405A" w:rsidP="007541CB">
      <w:r>
        <w:t>La  charge des intérêts (264</w:t>
      </w:r>
      <w:r w:rsidR="003876AB" w:rsidRPr="003876AB">
        <w:t xml:space="preserve"> K</w:t>
      </w:r>
      <w:r w:rsidR="005926C9" w:rsidRPr="003876AB">
        <w:t>€</w:t>
      </w:r>
      <w:r w:rsidR="003876AB" w:rsidRPr="003876AB">
        <w:t xml:space="preserve"> en 201</w:t>
      </w:r>
      <w:r>
        <w:t>7</w:t>
      </w:r>
      <w:r w:rsidR="005926C9" w:rsidRPr="003876AB">
        <w:t>) est liée aux différents emprunts contractés avant le transfert de cette compétence à Est Ensemble.</w:t>
      </w:r>
    </w:p>
    <w:p w:rsidR="0053072E" w:rsidRDefault="0053072E" w:rsidP="007541CB">
      <w:pPr>
        <w:rPr>
          <w:highlight w:val="cyan"/>
        </w:rPr>
      </w:pPr>
    </w:p>
    <w:p w:rsidR="0053072E" w:rsidRPr="003876AB" w:rsidRDefault="0053072E" w:rsidP="00B01171">
      <w:pPr>
        <w:pStyle w:val="Titre4"/>
      </w:pPr>
      <w:r w:rsidRPr="003876AB">
        <w:t>Les dépenses liées aux moyens généraux et activités ressources</w:t>
      </w:r>
    </w:p>
    <w:p w:rsidR="0053072E" w:rsidRDefault="0053072E" w:rsidP="0053072E">
      <w:pPr>
        <w:rPr>
          <w:highlight w:val="cyan"/>
        </w:rPr>
      </w:pPr>
    </w:p>
    <w:tbl>
      <w:tblPr>
        <w:tblW w:w="10120" w:type="dxa"/>
        <w:tblInd w:w="55" w:type="dxa"/>
        <w:tblCellMar>
          <w:left w:w="70" w:type="dxa"/>
          <w:right w:w="70" w:type="dxa"/>
        </w:tblCellMar>
        <w:tblLook w:val="04A0" w:firstRow="1" w:lastRow="0" w:firstColumn="1" w:lastColumn="0" w:noHBand="0" w:noVBand="1"/>
      </w:tblPr>
      <w:tblGrid>
        <w:gridCol w:w="5960"/>
        <w:gridCol w:w="2080"/>
        <w:gridCol w:w="2080"/>
      </w:tblGrid>
      <w:tr w:rsidR="007F64A6" w:rsidRPr="007F64A6" w:rsidTr="007F64A6">
        <w:trPr>
          <w:trHeight w:val="255"/>
        </w:trPr>
        <w:tc>
          <w:tcPr>
            <w:tcW w:w="5960" w:type="dxa"/>
            <w:tcBorders>
              <w:top w:val="single" w:sz="8" w:space="0" w:color="auto"/>
              <w:left w:val="single" w:sz="8" w:space="0" w:color="auto"/>
              <w:bottom w:val="nil"/>
              <w:right w:val="nil"/>
            </w:tcBorders>
            <w:shd w:val="clear" w:color="000000" w:fill="1F497D"/>
            <w:noWrap/>
            <w:vAlign w:val="center"/>
            <w:hideMark/>
          </w:tcPr>
          <w:p w:rsidR="007F64A6" w:rsidRPr="007F64A6" w:rsidRDefault="007F64A6" w:rsidP="007F64A6">
            <w:pPr>
              <w:spacing w:line="240" w:lineRule="auto"/>
              <w:jc w:val="left"/>
              <w:rPr>
                <w:rFonts w:eastAsia="Times New Roman" w:cs="Arial"/>
                <w:b/>
                <w:bCs/>
                <w:color w:val="FFFFFF"/>
                <w:sz w:val="18"/>
                <w:szCs w:val="18"/>
                <w:lang w:eastAsia="fr-FR"/>
              </w:rPr>
            </w:pPr>
            <w:r w:rsidRPr="007F64A6">
              <w:rPr>
                <w:rFonts w:eastAsia="Times New Roman" w:cs="Arial"/>
                <w:b/>
                <w:bCs/>
                <w:color w:val="FFFFFF"/>
                <w:sz w:val="18"/>
                <w:szCs w:val="18"/>
                <w:lang w:eastAsia="fr-FR"/>
              </w:rPr>
              <w:t>Programme</w:t>
            </w:r>
          </w:p>
        </w:tc>
        <w:tc>
          <w:tcPr>
            <w:tcW w:w="2080" w:type="dxa"/>
            <w:tcBorders>
              <w:top w:val="single" w:sz="8" w:space="0" w:color="auto"/>
              <w:left w:val="nil"/>
              <w:bottom w:val="nil"/>
              <w:right w:val="nil"/>
            </w:tcBorders>
            <w:shd w:val="clear" w:color="000000" w:fill="1F497D"/>
            <w:vAlign w:val="center"/>
            <w:hideMark/>
          </w:tcPr>
          <w:p w:rsidR="007F64A6" w:rsidRPr="007F64A6" w:rsidRDefault="007F64A6" w:rsidP="007F64A6">
            <w:pPr>
              <w:spacing w:line="240" w:lineRule="auto"/>
              <w:jc w:val="center"/>
              <w:rPr>
                <w:rFonts w:eastAsia="Times New Roman" w:cs="Arial"/>
                <w:b/>
                <w:bCs/>
                <w:color w:val="FFFFFF"/>
                <w:sz w:val="18"/>
                <w:szCs w:val="18"/>
                <w:lang w:eastAsia="fr-FR"/>
              </w:rPr>
            </w:pPr>
            <w:r w:rsidRPr="007F64A6">
              <w:rPr>
                <w:rFonts w:eastAsia="Times New Roman" w:cs="Arial"/>
                <w:b/>
                <w:bCs/>
                <w:color w:val="FFFFFF"/>
                <w:sz w:val="18"/>
                <w:szCs w:val="18"/>
                <w:lang w:eastAsia="fr-FR"/>
              </w:rPr>
              <w:t>CA 2016</w:t>
            </w:r>
          </w:p>
        </w:tc>
        <w:tc>
          <w:tcPr>
            <w:tcW w:w="2080" w:type="dxa"/>
            <w:tcBorders>
              <w:top w:val="single" w:sz="8" w:space="0" w:color="auto"/>
              <w:left w:val="nil"/>
              <w:bottom w:val="nil"/>
              <w:right w:val="single" w:sz="8" w:space="0" w:color="auto"/>
            </w:tcBorders>
            <w:shd w:val="clear" w:color="000000" w:fill="1F497D"/>
            <w:noWrap/>
            <w:vAlign w:val="center"/>
            <w:hideMark/>
          </w:tcPr>
          <w:p w:rsidR="007F64A6" w:rsidRPr="007F64A6" w:rsidRDefault="007F64A6" w:rsidP="007F64A6">
            <w:pPr>
              <w:spacing w:line="240" w:lineRule="auto"/>
              <w:jc w:val="center"/>
              <w:rPr>
                <w:rFonts w:eastAsia="Times New Roman" w:cs="Arial"/>
                <w:b/>
                <w:bCs/>
                <w:color w:val="FFFFFF"/>
                <w:sz w:val="18"/>
                <w:szCs w:val="18"/>
                <w:lang w:eastAsia="fr-FR"/>
              </w:rPr>
            </w:pPr>
            <w:r w:rsidRPr="007F64A6">
              <w:rPr>
                <w:rFonts w:eastAsia="Times New Roman" w:cs="Arial"/>
                <w:b/>
                <w:bCs/>
                <w:color w:val="FFFFFF"/>
                <w:sz w:val="18"/>
                <w:szCs w:val="18"/>
                <w:lang w:eastAsia="fr-FR"/>
              </w:rPr>
              <w:t>CA 2017</w:t>
            </w:r>
          </w:p>
        </w:tc>
      </w:tr>
      <w:tr w:rsidR="007F64A6" w:rsidRPr="007F64A6" w:rsidTr="007F64A6">
        <w:trPr>
          <w:trHeight w:val="255"/>
        </w:trPr>
        <w:tc>
          <w:tcPr>
            <w:tcW w:w="5960" w:type="dxa"/>
            <w:tcBorders>
              <w:top w:val="nil"/>
              <w:left w:val="single" w:sz="8" w:space="0" w:color="auto"/>
              <w:bottom w:val="nil"/>
              <w:right w:val="nil"/>
            </w:tcBorders>
            <w:shd w:val="clear" w:color="auto" w:fill="auto"/>
            <w:noWrap/>
            <w:vAlign w:val="center"/>
            <w:hideMark/>
          </w:tcPr>
          <w:p w:rsidR="007F64A6" w:rsidRPr="007F64A6" w:rsidRDefault="007F64A6" w:rsidP="007F64A6">
            <w:pPr>
              <w:spacing w:line="240" w:lineRule="auto"/>
              <w:jc w:val="left"/>
              <w:rPr>
                <w:rFonts w:eastAsia="Times New Roman" w:cs="Arial"/>
                <w:sz w:val="18"/>
                <w:szCs w:val="18"/>
                <w:lang w:eastAsia="fr-FR"/>
              </w:rPr>
            </w:pPr>
            <w:r w:rsidRPr="007F64A6">
              <w:rPr>
                <w:rFonts w:eastAsia="Times New Roman" w:cs="Arial"/>
                <w:sz w:val="18"/>
                <w:szCs w:val="18"/>
                <w:lang w:eastAsia="fr-FR"/>
              </w:rPr>
              <w:t>0191205 - RESSOURCES HUMAINES MASSE SALARIALE</w:t>
            </w:r>
          </w:p>
        </w:tc>
        <w:tc>
          <w:tcPr>
            <w:tcW w:w="2080" w:type="dxa"/>
            <w:tcBorders>
              <w:top w:val="nil"/>
              <w:left w:val="nil"/>
              <w:bottom w:val="nil"/>
              <w:right w:val="nil"/>
            </w:tcBorders>
            <w:shd w:val="clear" w:color="auto" w:fill="auto"/>
            <w:vAlign w:val="center"/>
            <w:hideMark/>
          </w:tcPr>
          <w:p w:rsidR="007F64A6" w:rsidRPr="007F64A6" w:rsidRDefault="007F64A6" w:rsidP="007F64A6">
            <w:pPr>
              <w:spacing w:line="240" w:lineRule="auto"/>
              <w:jc w:val="right"/>
              <w:rPr>
                <w:rFonts w:eastAsia="Times New Roman" w:cs="Arial"/>
                <w:sz w:val="18"/>
                <w:szCs w:val="18"/>
                <w:lang w:eastAsia="fr-FR"/>
              </w:rPr>
            </w:pPr>
            <w:r w:rsidRPr="007F64A6">
              <w:rPr>
                <w:rFonts w:eastAsia="Times New Roman" w:cs="Arial"/>
                <w:sz w:val="18"/>
                <w:szCs w:val="18"/>
                <w:lang w:eastAsia="fr-FR"/>
              </w:rPr>
              <w:t>1 217 224,95 €</w:t>
            </w:r>
          </w:p>
        </w:tc>
        <w:tc>
          <w:tcPr>
            <w:tcW w:w="2080" w:type="dxa"/>
            <w:tcBorders>
              <w:top w:val="nil"/>
              <w:left w:val="nil"/>
              <w:bottom w:val="nil"/>
              <w:right w:val="single" w:sz="8" w:space="0" w:color="auto"/>
            </w:tcBorders>
            <w:shd w:val="clear" w:color="auto" w:fill="auto"/>
            <w:vAlign w:val="center"/>
            <w:hideMark/>
          </w:tcPr>
          <w:p w:rsidR="007F64A6" w:rsidRPr="007F64A6" w:rsidRDefault="007F64A6" w:rsidP="007F64A6">
            <w:pPr>
              <w:spacing w:line="240" w:lineRule="auto"/>
              <w:jc w:val="right"/>
              <w:rPr>
                <w:rFonts w:eastAsia="Times New Roman" w:cs="Arial"/>
                <w:sz w:val="18"/>
                <w:szCs w:val="18"/>
                <w:lang w:eastAsia="fr-FR"/>
              </w:rPr>
            </w:pPr>
            <w:r w:rsidRPr="007F64A6">
              <w:rPr>
                <w:rFonts w:eastAsia="Times New Roman" w:cs="Arial"/>
                <w:sz w:val="18"/>
                <w:szCs w:val="18"/>
                <w:lang w:eastAsia="fr-FR"/>
              </w:rPr>
              <w:t>1 246 901,91 €</w:t>
            </w:r>
          </w:p>
        </w:tc>
      </w:tr>
      <w:tr w:rsidR="007F64A6" w:rsidRPr="007F64A6" w:rsidTr="007F64A6">
        <w:trPr>
          <w:trHeight w:val="255"/>
        </w:trPr>
        <w:tc>
          <w:tcPr>
            <w:tcW w:w="5960" w:type="dxa"/>
            <w:tcBorders>
              <w:top w:val="nil"/>
              <w:left w:val="single" w:sz="8" w:space="0" w:color="auto"/>
              <w:bottom w:val="nil"/>
              <w:right w:val="nil"/>
            </w:tcBorders>
            <w:shd w:val="clear" w:color="auto" w:fill="auto"/>
            <w:noWrap/>
            <w:vAlign w:val="center"/>
            <w:hideMark/>
          </w:tcPr>
          <w:p w:rsidR="007F64A6" w:rsidRPr="007F64A6" w:rsidRDefault="007F64A6" w:rsidP="007F64A6">
            <w:pPr>
              <w:spacing w:line="240" w:lineRule="auto"/>
              <w:jc w:val="left"/>
              <w:rPr>
                <w:rFonts w:eastAsia="Times New Roman" w:cs="Arial"/>
                <w:sz w:val="18"/>
                <w:szCs w:val="18"/>
                <w:lang w:eastAsia="fr-FR"/>
              </w:rPr>
            </w:pPr>
            <w:r w:rsidRPr="007F64A6">
              <w:rPr>
                <w:rFonts w:eastAsia="Times New Roman" w:cs="Arial"/>
                <w:sz w:val="18"/>
                <w:szCs w:val="18"/>
                <w:lang w:eastAsia="fr-FR"/>
              </w:rPr>
              <w:t>0191207 - ACTION SOCIALE ET SANTE AU TRAVAIL</w:t>
            </w:r>
          </w:p>
        </w:tc>
        <w:tc>
          <w:tcPr>
            <w:tcW w:w="2080" w:type="dxa"/>
            <w:tcBorders>
              <w:top w:val="nil"/>
              <w:left w:val="nil"/>
              <w:bottom w:val="nil"/>
              <w:right w:val="nil"/>
            </w:tcBorders>
            <w:shd w:val="clear" w:color="auto" w:fill="auto"/>
            <w:vAlign w:val="center"/>
            <w:hideMark/>
          </w:tcPr>
          <w:p w:rsidR="007F64A6" w:rsidRPr="007F64A6" w:rsidRDefault="007F64A6" w:rsidP="007F64A6">
            <w:pPr>
              <w:spacing w:line="240" w:lineRule="auto"/>
              <w:jc w:val="right"/>
              <w:rPr>
                <w:rFonts w:eastAsia="Times New Roman" w:cs="Arial"/>
                <w:sz w:val="18"/>
                <w:szCs w:val="18"/>
                <w:lang w:eastAsia="fr-FR"/>
              </w:rPr>
            </w:pPr>
            <w:r w:rsidRPr="007F64A6">
              <w:rPr>
                <w:rFonts w:eastAsia="Times New Roman" w:cs="Arial"/>
                <w:sz w:val="18"/>
                <w:szCs w:val="18"/>
                <w:lang w:eastAsia="fr-FR"/>
              </w:rPr>
              <w:t>44 522,36 €</w:t>
            </w:r>
          </w:p>
        </w:tc>
        <w:tc>
          <w:tcPr>
            <w:tcW w:w="2080" w:type="dxa"/>
            <w:tcBorders>
              <w:top w:val="nil"/>
              <w:left w:val="nil"/>
              <w:bottom w:val="nil"/>
              <w:right w:val="single" w:sz="8" w:space="0" w:color="auto"/>
            </w:tcBorders>
            <w:shd w:val="clear" w:color="auto" w:fill="auto"/>
            <w:vAlign w:val="center"/>
            <w:hideMark/>
          </w:tcPr>
          <w:p w:rsidR="007F64A6" w:rsidRPr="007F64A6" w:rsidRDefault="007F64A6" w:rsidP="007F64A6">
            <w:pPr>
              <w:spacing w:line="240" w:lineRule="auto"/>
              <w:jc w:val="right"/>
              <w:rPr>
                <w:rFonts w:eastAsia="Times New Roman" w:cs="Arial"/>
                <w:sz w:val="18"/>
                <w:szCs w:val="18"/>
                <w:lang w:eastAsia="fr-FR"/>
              </w:rPr>
            </w:pPr>
            <w:r w:rsidRPr="007F64A6">
              <w:rPr>
                <w:rFonts w:eastAsia="Times New Roman" w:cs="Arial"/>
                <w:sz w:val="18"/>
                <w:szCs w:val="18"/>
                <w:lang w:eastAsia="fr-FR"/>
              </w:rPr>
              <w:t>44 522,36 €</w:t>
            </w:r>
          </w:p>
        </w:tc>
      </w:tr>
      <w:tr w:rsidR="007F64A6" w:rsidRPr="007F64A6" w:rsidTr="007F64A6">
        <w:trPr>
          <w:trHeight w:val="255"/>
        </w:trPr>
        <w:tc>
          <w:tcPr>
            <w:tcW w:w="5960" w:type="dxa"/>
            <w:tcBorders>
              <w:top w:val="nil"/>
              <w:left w:val="single" w:sz="8" w:space="0" w:color="auto"/>
              <w:bottom w:val="nil"/>
              <w:right w:val="nil"/>
            </w:tcBorders>
            <w:shd w:val="clear" w:color="auto" w:fill="auto"/>
            <w:noWrap/>
            <w:vAlign w:val="center"/>
            <w:hideMark/>
          </w:tcPr>
          <w:p w:rsidR="007F64A6" w:rsidRPr="007F64A6" w:rsidRDefault="007F64A6" w:rsidP="007F64A6">
            <w:pPr>
              <w:spacing w:line="240" w:lineRule="auto"/>
              <w:jc w:val="left"/>
              <w:rPr>
                <w:rFonts w:eastAsia="Times New Roman" w:cs="Arial"/>
                <w:sz w:val="18"/>
                <w:szCs w:val="18"/>
                <w:lang w:eastAsia="fr-FR"/>
              </w:rPr>
            </w:pPr>
            <w:r w:rsidRPr="007F64A6">
              <w:rPr>
                <w:rFonts w:eastAsia="Times New Roman" w:cs="Arial"/>
                <w:sz w:val="18"/>
                <w:szCs w:val="18"/>
                <w:lang w:eastAsia="fr-FR"/>
              </w:rPr>
              <w:t>0191208 - RECRUTEMENT, FORMATION ET CONSEIL EN RH</w:t>
            </w:r>
          </w:p>
        </w:tc>
        <w:tc>
          <w:tcPr>
            <w:tcW w:w="2080" w:type="dxa"/>
            <w:tcBorders>
              <w:top w:val="nil"/>
              <w:left w:val="nil"/>
              <w:bottom w:val="nil"/>
              <w:right w:val="nil"/>
            </w:tcBorders>
            <w:shd w:val="clear" w:color="auto" w:fill="auto"/>
            <w:vAlign w:val="center"/>
            <w:hideMark/>
          </w:tcPr>
          <w:p w:rsidR="007F64A6" w:rsidRPr="007F64A6" w:rsidRDefault="007F64A6" w:rsidP="007F64A6">
            <w:pPr>
              <w:spacing w:line="240" w:lineRule="auto"/>
              <w:jc w:val="right"/>
              <w:rPr>
                <w:rFonts w:eastAsia="Times New Roman" w:cs="Arial"/>
                <w:sz w:val="18"/>
                <w:szCs w:val="18"/>
                <w:lang w:eastAsia="fr-FR"/>
              </w:rPr>
            </w:pPr>
            <w:r w:rsidRPr="007F64A6">
              <w:rPr>
                <w:rFonts w:eastAsia="Times New Roman" w:cs="Arial"/>
                <w:sz w:val="18"/>
                <w:szCs w:val="18"/>
                <w:lang w:eastAsia="fr-FR"/>
              </w:rPr>
              <w:t>9 336,40 €</w:t>
            </w:r>
          </w:p>
        </w:tc>
        <w:tc>
          <w:tcPr>
            <w:tcW w:w="2080" w:type="dxa"/>
            <w:tcBorders>
              <w:top w:val="nil"/>
              <w:left w:val="nil"/>
              <w:bottom w:val="nil"/>
              <w:right w:val="single" w:sz="8" w:space="0" w:color="auto"/>
            </w:tcBorders>
            <w:shd w:val="clear" w:color="auto" w:fill="auto"/>
            <w:vAlign w:val="center"/>
            <w:hideMark/>
          </w:tcPr>
          <w:p w:rsidR="007F64A6" w:rsidRPr="007F64A6" w:rsidRDefault="007F64A6" w:rsidP="007F64A6">
            <w:pPr>
              <w:spacing w:line="240" w:lineRule="auto"/>
              <w:jc w:val="right"/>
              <w:rPr>
                <w:rFonts w:eastAsia="Times New Roman" w:cs="Arial"/>
                <w:sz w:val="18"/>
                <w:szCs w:val="18"/>
                <w:lang w:eastAsia="fr-FR"/>
              </w:rPr>
            </w:pPr>
            <w:r w:rsidRPr="007F64A6">
              <w:rPr>
                <w:rFonts w:eastAsia="Times New Roman" w:cs="Arial"/>
                <w:sz w:val="18"/>
                <w:szCs w:val="18"/>
                <w:lang w:eastAsia="fr-FR"/>
              </w:rPr>
              <w:t>3 414,00 €</w:t>
            </w:r>
          </w:p>
        </w:tc>
      </w:tr>
      <w:tr w:rsidR="007F64A6" w:rsidRPr="007F64A6" w:rsidTr="007F64A6">
        <w:trPr>
          <w:trHeight w:val="255"/>
        </w:trPr>
        <w:tc>
          <w:tcPr>
            <w:tcW w:w="5960" w:type="dxa"/>
            <w:tcBorders>
              <w:top w:val="nil"/>
              <w:left w:val="single" w:sz="8" w:space="0" w:color="auto"/>
              <w:bottom w:val="nil"/>
              <w:right w:val="nil"/>
            </w:tcBorders>
            <w:shd w:val="clear" w:color="auto" w:fill="auto"/>
            <w:noWrap/>
            <w:vAlign w:val="center"/>
            <w:hideMark/>
          </w:tcPr>
          <w:p w:rsidR="007F64A6" w:rsidRPr="007F64A6" w:rsidRDefault="007F64A6" w:rsidP="007F64A6">
            <w:pPr>
              <w:spacing w:line="240" w:lineRule="auto"/>
              <w:jc w:val="left"/>
              <w:rPr>
                <w:rFonts w:eastAsia="Times New Roman" w:cs="Arial"/>
                <w:sz w:val="18"/>
                <w:szCs w:val="18"/>
                <w:lang w:eastAsia="fr-FR"/>
              </w:rPr>
            </w:pPr>
            <w:r w:rsidRPr="007F64A6">
              <w:rPr>
                <w:rFonts w:eastAsia="Times New Roman" w:cs="Arial"/>
                <w:sz w:val="18"/>
                <w:szCs w:val="18"/>
                <w:lang w:eastAsia="fr-FR"/>
              </w:rPr>
              <w:t>0191206 - MOYENS GENERAUX</w:t>
            </w:r>
          </w:p>
        </w:tc>
        <w:tc>
          <w:tcPr>
            <w:tcW w:w="2080" w:type="dxa"/>
            <w:tcBorders>
              <w:top w:val="nil"/>
              <w:left w:val="nil"/>
              <w:bottom w:val="nil"/>
              <w:right w:val="nil"/>
            </w:tcBorders>
            <w:shd w:val="clear" w:color="auto" w:fill="auto"/>
            <w:vAlign w:val="center"/>
            <w:hideMark/>
          </w:tcPr>
          <w:p w:rsidR="007F64A6" w:rsidRPr="007F64A6" w:rsidRDefault="007F64A6" w:rsidP="007F64A6">
            <w:pPr>
              <w:spacing w:line="240" w:lineRule="auto"/>
              <w:jc w:val="right"/>
              <w:rPr>
                <w:rFonts w:eastAsia="Times New Roman" w:cs="Arial"/>
                <w:sz w:val="18"/>
                <w:szCs w:val="18"/>
                <w:lang w:eastAsia="fr-FR"/>
              </w:rPr>
            </w:pPr>
            <w:r w:rsidRPr="007F64A6">
              <w:rPr>
                <w:rFonts w:eastAsia="Times New Roman" w:cs="Arial"/>
                <w:sz w:val="18"/>
                <w:szCs w:val="18"/>
                <w:lang w:eastAsia="fr-FR"/>
              </w:rPr>
              <w:t>439 225,88 €</w:t>
            </w:r>
          </w:p>
        </w:tc>
        <w:tc>
          <w:tcPr>
            <w:tcW w:w="2080" w:type="dxa"/>
            <w:tcBorders>
              <w:top w:val="nil"/>
              <w:left w:val="nil"/>
              <w:bottom w:val="nil"/>
              <w:right w:val="single" w:sz="8" w:space="0" w:color="auto"/>
            </w:tcBorders>
            <w:shd w:val="clear" w:color="auto" w:fill="auto"/>
            <w:vAlign w:val="center"/>
            <w:hideMark/>
          </w:tcPr>
          <w:p w:rsidR="007F64A6" w:rsidRPr="007F64A6" w:rsidRDefault="007F64A6" w:rsidP="007F64A6">
            <w:pPr>
              <w:spacing w:line="240" w:lineRule="auto"/>
              <w:jc w:val="right"/>
              <w:rPr>
                <w:rFonts w:eastAsia="Times New Roman" w:cs="Arial"/>
                <w:sz w:val="18"/>
                <w:szCs w:val="18"/>
                <w:lang w:eastAsia="fr-FR"/>
              </w:rPr>
            </w:pPr>
            <w:r w:rsidRPr="007F64A6">
              <w:rPr>
                <w:rFonts w:eastAsia="Times New Roman" w:cs="Arial"/>
                <w:sz w:val="18"/>
                <w:szCs w:val="18"/>
                <w:lang w:eastAsia="fr-FR"/>
              </w:rPr>
              <w:t>465 911,97 €</w:t>
            </w:r>
          </w:p>
        </w:tc>
      </w:tr>
      <w:tr w:rsidR="007F64A6" w:rsidRPr="007F64A6" w:rsidTr="007F64A6">
        <w:trPr>
          <w:trHeight w:val="270"/>
        </w:trPr>
        <w:tc>
          <w:tcPr>
            <w:tcW w:w="5960" w:type="dxa"/>
            <w:tcBorders>
              <w:top w:val="nil"/>
              <w:left w:val="single" w:sz="8" w:space="0" w:color="auto"/>
              <w:bottom w:val="single" w:sz="8" w:space="0" w:color="auto"/>
              <w:right w:val="nil"/>
            </w:tcBorders>
            <w:shd w:val="clear" w:color="000000" w:fill="BFBFBF"/>
            <w:noWrap/>
            <w:vAlign w:val="center"/>
            <w:hideMark/>
          </w:tcPr>
          <w:p w:rsidR="007F64A6" w:rsidRPr="007F64A6" w:rsidRDefault="007F64A6" w:rsidP="007F64A6">
            <w:pPr>
              <w:spacing w:line="240" w:lineRule="auto"/>
              <w:jc w:val="left"/>
              <w:rPr>
                <w:rFonts w:eastAsia="Times New Roman" w:cs="Arial"/>
                <w:b/>
                <w:bCs/>
                <w:sz w:val="18"/>
                <w:szCs w:val="18"/>
                <w:lang w:eastAsia="fr-FR"/>
              </w:rPr>
            </w:pPr>
            <w:r w:rsidRPr="007F64A6">
              <w:rPr>
                <w:rFonts w:eastAsia="Times New Roman" w:cs="Arial"/>
                <w:b/>
                <w:bCs/>
                <w:sz w:val="18"/>
                <w:szCs w:val="18"/>
                <w:lang w:eastAsia="fr-FR"/>
              </w:rPr>
              <w:t>Total général</w:t>
            </w:r>
          </w:p>
        </w:tc>
        <w:tc>
          <w:tcPr>
            <w:tcW w:w="2080" w:type="dxa"/>
            <w:tcBorders>
              <w:top w:val="nil"/>
              <w:left w:val="nil"/>
              <w:bottom w:val="single" w:sz="8" w:space="0" w:color="auto"/>
              <w:right w:val="nil"/>
            </w:tcBorders>
            <w:shd w:val="clear" w:color="000000" w:fill="BFBFBF"/>
            <w:vAlign w:val="center"/>
            <w:hideMark/>
          </w:tcPr>
          <w:p w:rsidR="007F64A6" w:rsidRPr="007F64A6" w:rsidRDefault="007F64A6" w:rsidP="007F64A6">
            <w:pPr>
              <w:spacing w:line="240" w:lineRule="auto"/>
              <w:jc w:val="right"/>
              <w:rPr>
                <w:rFonts w:eastAsia="Times New Roman" w:cs="Arial"/>
                <w:b/>
                <w:bCs/>
                <w:sz w:val="18"/>
                <w:szCs w:val="18"/>
                <w:lang w:eastAsia="fr-FR"/>
              </w:rPr>
            </w:pPr>
            <w:r w:rsidRPr="007F64A6">
              <w:rPr>
                <w:rFonts w:eastAsia="Times New Roman" w:cs="Arial"/>
                <w:b/>
                <w:bCs/>
                <w:sz w:val="18"/>
                <w:szCs w:val="18"/>
                <w:lang w:eastAsia="fr-FR"/>
              </w:rPr>
              <w:t>1 710 309,59 €</w:t>
            </w:r>
          </w:p>
        </w:tc>
        <w:tc>
          <w:tcPr>
            <w:tcW w:w="2080" w:type="dxa"/>
            <w:tcBorders>
              <w:top w:val="nil"/>
              <w:left w:val="nil"/>
              <w:bottom w:val="single" w:sz="8" w:space="0" w:color="auto"/>
              <w:right w:val="single" w:sz="8" w:space="0" w:color="auto"/>
            </w:tcBorders>
            <w:shd w:val="clear" w:color="000000" w:fill="BFBFBF"/>
            <w:vAlign w:val="center"/>
            <w:hideMark/>
          </w:tcPr>
          <w:p w:rsidR="007F64A6" w:rsidRPr="007F64A6" w:rsidRDefault="007F64A6" w:rsidP="007F64A6">
            <w:pPr>
              <w:spacing w:line="240" w:lineRule="auto"/>
              <w:jc w:val="right"/>
              <w:rPr>
                <w:rFonts w:eastAsia="Times New Roman" w:cs="Arial"/>
                <w:b/>
                <w:bCs/>
                <w:sz w:val="18"/>
                <w:szCs w:val="18"/>
                <w:lang w:eastAsia="fr-FR"/>
              </w:rPr>
            </w:pPr>
            <w:r w:rsidRPr="007F64A6">
              <w:rPr>
                <w:rFonts w:eastAsia="Times New Roman" w:cs="Arial"/>
                <w:b/>
                <w:bCs/>
                <w:sz w:val="18"/>
                <w:szCs w:val="18"/>
                <w:lang w:eastAsia="fr-FR"/>
              </w:rPr>
              <w:t>1 760 750,24 €</w:t>
            </w:r>
          </w:p>
        </w:tc>
      </w:tr>
    </w:tbl>
    <w:p w:rsidR="0053072E" w:rsidRPr="0053072E" w:rsidRDefault="0053072E" w:rsidP="0053072E">
      <w:pPr>
        <w:rPr>
          <w:highlight w:val="cyan"/>
        </w:rPr>
      </w:pPr>
    </w:p>
    <w:p w:rsidR="004E546B" w:rsidRPr="004E546B" w:rsidRDefault="003876AB" w:rsidP="003876AB">
      <w:r w:rsidRPr="004E546B">
        <w:t xml:space="preserve">Les crédits du programme « </w:t>
      </w:r>
      <w:r w:rsidRPr="004E546B">
        <w:rPr>
          <w:b/>
        </w:rPr>
        <w:t>Ressources humaines et masse salariale</w:t>
      </w:r>
      <w:r w:rsidR="007F64A6">
        <w:t xml:space="preserve"> » ont progressé de +2,4</w:t>
      </w:r>
      <w:r w:rsidRPr="004E546B">
        <w:t>% entre 201</w:t>
      </w:r>
      <w:r w:rsidR="007F64A6">
        <w:t>6 et 2017 (+30K€)</w:t>
      </w:r>
      <w:r w:rsidRPr="004E546B">
        <w:t xml:space="preserve">. </w:t>
      </w:r>
    </w:p>
    <w:p w:rsidR="003876AB" w:rsidRPr="004E546B" w:rsidRDefault="003876AB" w:rsidP="003876AB">
      <w:r w:rsidRPr="004E546B">
        <w:t xml:space="preserve">Le programme « </w:t>
      </w:r>
      <w:r w:rsidRPr="004E546B">
        <w:rPr>
          <w:b/>
        </w:rPr>
        <w:t>Moyens généraux</w:t>
      </w:r>
      <w:r w:rsidRPr="004E546B">
        <w:t xml:space="preserve"> » regroupe l’ensemble des dépenses associées au bon fonctionnement du service de l’assainissement : carburant, entretien et réparation de la flotte des véhicules dédiés, achat des équipements de travail mais aussi énergie, fluides, loyers et taxes associés au Centre technique de Bobigny. Par ailleurs, il rembourse les dépenses supportées par le budget principal au titre des fonctions supports (systèmes d’information, quote-part sur les assurances véhicules, ressources humaines).</w:t>
      </w:r>
      <w:r w:rsidR="004E546B" w:rsidRPr="004E546B">
        <w:t xml:space="preserve"> Ce programme enregistre également une légère </w:t>
      </w:r>
      <w:r w:rsidR="007F64A6">
        <w:t>hausse en 2017</w:t>
      </w:r>
      <w:r w:rsidR="004E546B" w:rsidRPr="004E546B">
        <w:t xml:space="preserve"> par rapport à 201</w:t>
      </w:r>
      <w:r w:rsidR="007F64A6">
        <w:t>6 (+27 K€</w:t>
      </w:r>
      <w:r w:rsidR="004E546B" w:rsidRPr="004E546B">
        <w:t>).</w:t>
      </w:r>
    </w:p>
    <w:p w:rsidR="00070AF8" w:rsidRPr="004E546B" w:rsidRDefault="00070AF8" w:rsidP="00BB432C"/>
    <w:p w:rsidR="00DF2097" w:rsidRPr="004E546B" w:rsidRDefault="004E546B" w:rsidP="00BB432C">
      <w:r w:rsidRPr="004E546B">
        <w:t xml:space="preserve">Au global, les dépenses liées aux moyens généraux et activités ressources </w:t>
      </w:r>
      <w:r w:rsidR="007F64A6">
        <w:t>augmentent de +2</w:t>
      </w:r>
      <w:r w:rsidRPr="004E546B">
        <w:t>,9%.</w:t>
      </w:r>
    </w:p>
    <w:p w:rsidR="00070AF8" w:rsidRPr="00F52524" w:rsidRDefault="00070AF8" w:rsidP="00902FEA">
      <w:pPr>
        <w:pStyle w:val="Titre2"/>
      </w:pPr>
      <w:bookmarkStart w:id="91" w:name="_Toc509490445"/>
      <w:r w:rsidRPr="00F52524">
        <w:lastRenderedPageBreak/>
        <w:t>L’investissement</w:t>
      </w:r>
      <w:bookmarkEnd w:id="91"/>
    </w:p>
    <w:p w:rsidR="001F31CA" w:rsidRPr="00F52524" w:rsidRDefault="001F31CA" w:rsidP="009E6A42">
      <w:pPr>
        <w:pStyle w:val="Titre3"/>
        <w:numPr>
          <w:ilvl w:val="0"/>
          <w:numId w:val="26"/>
        </w:numPr>
      </w:pPr>
      <w:bookmarkStart w:id="92" w:name="_Toc509490446"/>
      <w:r w:rsidRPr="00F52524">
        <w:t xml:space="preserve">Les </w:t>
      </w:r>
      <w:r w:rsidR="00070AF8" w:rsidRPr="00F52524">
        <w:t>recettes d’investissement</w:t>
      </w:r>
      <w:bookmarkEnd w:id="92"/>
    </w:p>
    <w:p w:rsidR="001F31CA" w:rsidRPr="00F52524" w:rsidRDefault="001F31CA" w:rsidP="001F31CA">
      <w:pPr>
        <w:rPr>
          <w:b/>
        </w:rPr>
      </w:pPr>
    </w:p>
    <w:p w:rsidR="00E80F45" w:rsidRDefault="00F52524" w:rsidP="001F31CA">
      <w:pPr>
        <w:rPr>
          <w:rFonts w:cs="Tahoma"/>
          <w:szCs w:val="20"/>
        </w:rPr>
      </w:pPr>
      <w:r w:rsidRPr="002B2FE7">
        <w:rPr>
          <w:rFonts w:cs="Tahoma"/>
          <w:szCs w:val="20"/>
        </w:rPr>
        <w:t>Hors excédent de fonctionnement capitalisé</w:t>
      </w:r>
      <w:r w:rsidR="002B2FE7" w:rsidRPr="002B2FE7">
        <w:rPr>
          <w:rFonts w:cs="Tahoma"/>
          <w:szCs w:val="20"/>
        </w:rPr>
        <w:t xml:space="preserve"> et emprunt</w:t>
      </w:r>
      <w:r w:rsidRPr="002B2FE7">
        <w:rPr>
          <w:rFonts w:cs="Tahoma"/>
          <w:szCs w:val="20"/>
        </w:rPr>
        <w:t>, l</w:t>
      </w:r>
      <w:r w:rsidR="00E80F45" w:rsidRPr="002B2FE7">
        <w:rPr>
          <w:rFonts w:cs="Tahoma"/>
          <w:szCs w:val="20"/>
        </w:rPr>
        <w:t>es recet</w:t>
      </w:r>
      <w:r w:rsidRPr="002B2FE7">
        <w:rPr>
          <w:rFonts w:cs="Tahoma"/>
          <w:szCs w:val="20"/>
        </w:rPr>
        <w:t xml:space="preserve">tes d’investissement </w:t>
      </w:r>
      <w:r w:rsidR="002B2FE7" w:rsidRPr="002B2FE7">
        <w:rPr>
          <w:rFonts w:cs="Tahoma"/>
          <w:szCs w:val="20"/>
        </w:rPr>
        <w:t>progressent</w:t>
      </w:r>
      <w:r w:rsidRPr="002B2FE7">
        <w:rPr>
          <w:rFonts w:cs="Tahoma"/>
          <w:szCs w:val="20"/>
        </w:rPr>
        <w:t xml:space="preserve"> sensiblement </w:t>
      </w:r>
      <w:r w:rsidR="00E80F45" w:rsidRPr="002B2FE7">
        <w:rPr>
          <w:rFonts w:cs="Tahoma"/>
          <w:szCs w:val="20"/>
        </w:rPr>
        <w:t>en 201</w:t>
      </w:r>
      <w:r w:rsidR="002B2FE7" w:rsidRPr="002B2FE7">
        <w:rPr>
          <w:rFonts w:cs="Tahoma"/>
          <w:szCs w:val="20"/>
        </w:rPr>
        <w:t>7</w:t>
      </w:r>
      <w:r w:rsidRPr="002B2FE7">
        <w:rPr>
          <w:rFonts w:cs="Tahoma"/>
          <w:szCs w:val="20"/>
        </w:rPr>
        <w:t> : elles s’élèvent en effet à</w:t>
      </w:r>
      <w:r w:rsidR="002B2FE7" w:rsidRPr="002B2FE7">
        <w:rPr>
          <w:rFonts w:cs="Tahoma"/>
          <w:szCs w:val="20"/>
        </w:rPr>
        <w:t xml:space="preserve"> 5,4 M€ contre</w:t>
      </w:r>
      <w:r w:rsidRPr="002B2FE7">
        <w:rPr>
          <w:rFonts w:cs="Tahoma"/>
          <w:szCs w:val="20"/>
        </w:rPr>
        <w:t xml:space="preserve"> 3,2</w:t>
      </w:r>
      <w:r w:rsidR="00E80F45" w:rsidRPr="002B2FE7">
        <w:rPr>
          <w:rFonts w:cs="Tahoma"/>
          <w:szCs w:val="20"/>
        </w:rPr>
        <w:t>M€</w:t>
      </w:r>
      <w:r w:rsidR="002B2FE7" w:rsidRPr="002B2FE7">
        <w:rPr>
          <w:rFonts w:cs="Tahoma"/>
          <w:szCs w:val="20"/>
        </w:rPr>
        <w:t xml:space="preserve"> en 2016.</w:t>
      </w:r>
    </w:p>
    <w:p w:rsidR="0000212C" w:rsidRPr="0000212C" w:rsidRDefault="0000212C" w:rsidP="001F31CA">
      <w:pPr>
        <w:rPr>
          <w:b/>
        </w:rPr>
      </w:pPr>
    </w:p>
    <w:p w:rsidR="00070AF8" w:rsidRPr="00F52524" w:rsidRDefault="00BA39CE" w:rsidP="00B01171">
      <w:pPr>
        <w:pStyle w:val="Titre4"/>
        <w:numPr>
          <w:ilvl w:val="0"/>
          <w:numId w:val="15"/>
        </w:numPr>
      </w:pPr>
      <w:r w:rsidRPr="00F52524">
        <w:t>Les participations et subventions</w:t>
      </w:r>
    </w:p>
    <w:p w:rsidR="00BA39CE" w:rsidRDefault="00BA39CE" w:rsidP="00BA39CE">
      <w:pPr>
        <w:rPr>
          <w:highlight w:val="cyan"/>
        </w:rPr>
      </w:pPr>
    </w:p>
    <w:tbl>
      <w:tblPr>
        <w:tblW w:w="10120" w:type="dxa"/>
        <w:tblInd w:w="55" w:type="dxa"/>
        <w:tblCellMar>
          <w:left w:w="70" w:type="dxa"/>
          <w:right w:w="70" w:type="dxa"/>
        </w:tblCellMar>
        <w:tblLook w:val="04A0" w:firstRow="1" w:lastRow="0" w:firstColumn="1" w:lastColumn="0" w:noHBand="0" w:noVBand="1"/>
      </w:tblPr>
      <w:tblGrid>
        <w:gridCol w:w="5960"/>
        <w:gridCol w:w="2080"/>
        <w:gridCol w:w="2080"/>
      </w:tblGrid>
      <w:tr w:rsidR="009D7643" w:rsidRPr="009D7643" w:rsidTr="009D7643">
        <w:trPr>
          <w:trHeight w:val="255"/>
        </w:trPr>
        <w:tc>
          <w:tcPr>
            <w:tcW w:w="5960" w:type="dxa"/>
            <w:tcBorders>
              <w:top w:val="single" w:sz="8" w:space="0" w:color="auto"/>
              <w:left w:val="single" w:sz="8" w:space="0" w:color="auto"/>
              <w:bottom w:val="nil"/>
              <w:right w:val="nil"/>
            </w:tcBorders>
            <w:shd w:val="clear" w:color="000000" w:fill="CE013C"/>
            <w:noWrap/>
            <w:vAlign w:val="center"/>
            <w:hideMark/>
          </w:tcPr>
          <w:p w:rsidR="009D7643" w:rsidRPr="009D7643" w:rsidRDefault="009D7643" w:rsidP="009D7643">
            <w:pPr>
              <w:spacing w:line="240" w:lineRule="auto"/>
              <w:jc w:val="left"/>
              <w:rPr>
                <w:rFonts w:eastAsia="Times New Roman" w:cs="Arial"/>
                <w:b/>
                <w:bCs/>
                <w:color w:val="FFFFFF"/>
                <w:sz w:val="18"/>
                <w:szCs w:val="18"/>
                <w:lang w:eastAsia="fr-FR"/>
              </w:rPr>
            </w:pPr>
            <w:r w:rsidRPr="009D7643">
              <w:rPr>
                <w:rFonts w:eastAsia="Times New Roman" w:cs="Arial"/>
                <w:b/>
                <w:bCs/>
                <w:color w:val="FFFFFF"/>
                <w:sz w:val="18"/>
                <w:szCs w:val="18"/>
                <w:lang w:eastAsia="fr-FR"/>
              </w:rPr>
              <w:t>Programme</w:t>
            </w:r>
          </w:p>
        </w:tc>
        <w:tc>
          <w:tcPr>
            <w:tcW w:w="2080" w:type="dxa"/>
            <w:tcBorders>
              <w:top w:val="single" w:sz="8" w:space="0" w:color="auto"/>
              <w:left w:val="nil"/>
              <w:bottom w:val="nil"/>
              <w:right w:val="nil"/>
            </w:tcBorders>
            <w:shd w:val="clear" w:color="000000" w:fill="CE013C"/>
            <w:vAlign w:val="center"/>
            <w:hideMark/>
          </w:tcPr>
          <w:p w:rsidR="009D7643" w:rsidRPr="009D7643" w:rsidRDefault="009D7643" w:rsidP="009D7643">
            <w:pPr>
              <w:spacing w:line="240" w:lineRule="auto"/>
              <w:jc w:val="center"/>
              <w:rPr>
                <w:rFonts w:eastAsia="Times New Roman" w:cs="Arial"/>
                <w:b/>
                <w:bCs/>
                <w:color w:val="FFFFFF"/>
                <w:sz w:val="18"/>
                <w:szCs w:val="18"/>
                <w:lang w:eastAsia="fr-FR"/>
              </w:rPr>
            </w:pPr>
            <w:r w:rsidRPr="009D7643">
              <w:rPr>
                <w:rFonts w:eastAsia="Times New Roman" w:cs="Arial"/>
                <w:b/>
                <w:bCs/>
                <w:color w:val="FFFFFF"/>
                <w:sz w:val="18"/>
                <w:szCs w:val="18"/>
                <w:lang w:eastAsia="fr-FR"/>
              </w:rPr>
              <w:t>CA 2016</w:t>
            </w:r>
          </w:p>
        </w:tc>
        <w:tc>
          <w:tcPr>
            <w:tcW w:w="2080" w:type="dxa"/>
            <w:tcBorders>
              <w:top w:val="single" w:sz="8" w:space="0" w:color="auto"/>
              <w:left w:val="nil"/>
              <w:bottom w:val="nil"/>
              <w:right w:val="single" w:sz="8" w:space="0" w:color="auto"/>
            </w:tcBorders>
            <w:shd w:val="clear" w:color="000000" w:fill="CE013C"/>
            <w:noWrap/>
            <w:vAlign w:val="center"/>
            <w:hideMark/>
          </w:tcPr>
          <w:p w:rsidR="009D7643" w:rsidRPr="009D7643" w:rsidRDefault="009D7643" w:rsidP="009D7643">
            <w:pPr>
              <w:spacing w:line="240" w:lineRule="auto"/>
              <w:jc w:val="center"/>
              <w:rPr>
                <w:rFonts w:eastAsia="Times New Roman" w:cs="Arial"/>
                <w:b/>
                <w:bCs/>
                <w:color w:val="FFFFFF"/>
                <w:sz w:val="18"/>
                <w:szCs w:val="18"/>
                <w:lang w:eastAsia="fr-FR"/>
              </w:rPr>
            </w:pPr>
            <w:r w:rsidRPr="009D7643">
              <w:rPr>
                <w:rFonts w:eastAsia="Times New Roman" w:cs="Arial"/>
                <w:b/>
                <w:bCs/>
                <w:color w:val="FFFFFF"/>
                <w:sz w:val="18"/>
                <w:szCs w:val="18"/>
                <w:lang w:eastAsia="fr-FR"/>
              </w:rPr>
              <w:t>CA 2017</w:t>
            </w:r>
          </w:p>
        </w:tc>
      </w:tr>
      <w:tr w:rsidR="009D7643" w:rsidRPr="009D7643" w:rsidTr="009D7643">
        <w:trPr>
          <w:trHeight w:val="255"/>
        </w:trPr>
        <w:tc>
          <w:tcPr>
            <w:tcW w:w="5960" w:type="dxa"/>
            <w:tcBorders>
              <w:top w:val="nil"/>
              <w:left w:val="single" w:sz="8" w:space="0" w:color="auto"/>
              <w:bottom w:val="nil"/>
              <w:right w:val="nil"/>
            </w:tcBorders>
            <w:shd w:val="clear" w:color="auto" w:fill="auto"/>
            <w:noWrap/>
            <w:vAlign w:val="center"/>
            <w:hideMark/>
          </w:tcPr>
          <w:p w:rsidR="009D7643" w:rsidRPr="009D7643" w:rsidRDefault="009D7643" w:rsidP="009D7643">
            <w:pPr>
              <w:spacing w:line="240" w:lineRule="auto"/>
              <w:jc w:val="left"/>
              <w:rPr>
                <w:rFonts w:eastAsia="Times New Roman" w:cs="Arial"/>
                <w:sz w:val="18"/>
                <w:szCs w:val="18"/>
                <w:lang w:eastAsia="fr-FR"/>
              </w:rPr>
            </w:pPr>
            <w:r w:rsidRPr="009D7643">
              <w:rPr>
                <w:rFonts w:eastAsia="Times New Roman" w:cs="Arial"/>
                <w:sz w:val="18"/>
                <w:szCs w:val="18"/>
                <w:lang w:eastAsia="fr-FR"/>
              </w:rPr>
              <w:t>0191202 - LUTTE CONTRE LES INONDATIONS</w:t>
            </w:r>
          </w:p>
        </w:tc>
        <w:tc>
          <w:tcPr>
            <w:tcW w:w="2080" w:type="dxa"/>
            <w:tcBorders>
              <w:top w:val="nil"/>
              <w:left w:val="nil"/>
              <w:bottom w:val="nil"/>
              <w:right w:val="nil"/>
            </w:tcBorders>
            <w:shd w:val="clear" w:color="auto" w:fill="auto"/>
            <w:vAlign w:val="center"/>
            <w:hideMark/>
          </w:tcPr>
          <w:p w:rsidR="009D7643" w:rsidRPr="009D7643" w:rsidRDefault="009D7643" w:rsidP="009D7643">
            <w:pPr>
              <w:spacing w:line="240" w:lineRule="auto"/>
              <w:jc w:val="right"/>
              <w:rPr>
                <w:rFonts w:eastAsia="Times New Roman" w:cs="Arial"/>
                <w:sz w:val="18"/>
                <w:szCs w:val="18"/>
                <w:lang w:eastAsia="fr-FR"/>
              </w:rPr>
            </w:pPr>
            <w:r w:rsidRPr="009D7643">
              <w:rPr>
                <w:rFonts w:eastAsia="Times New Roman" w:cs="Arial"/>
                <w:sz w:val="18"/>
                <w:szCs w:val="18"/>
                <w:lang w:eastAsia="fr-FR"/>
              </w:rPr>
              <w:t xml:space="preserve">                 -   € </w:t>
            </w:r>
          </w:p>
        </w:tc>
        <w:tc>
          <w:tcPr>
            <w:tcW w:w="2080" w:type="dxa"/>
            <w:tcBorders>
              <w:top w:val="nil"/>
              <w:left w:val="nil"/>
              <w:bottom w:val="nil"/>
              <w:right w:val="single" w:sz="8" w:space="0" w:color="auto"/>
            </w:tcBorders>
            <w:shd w:val="clear" w:color="auto" w:fill="auto"/>
            <w:vAlign w:val="center"/>
            <w:hideMark/>
          </w:tcPr>
          <w:p w:rsidR="009D7643" w:rsidRPr="009D7643" w:rsidRDefault="009D7643" w:rsidP="009D7643">
            <w:pPr>
              <w:spacing w:line="240" w:lineRule="auto"/>
              <w:jc w:val="right"/>
              <w:rPr>
                <w:rFonts w:eastAsia="Times New Roman" w:cs="Arial"/>
                <w:sz w:val="18"/>
                <w:szCs w:val="18"/>
                <w:lang w:eastAsia="fr-FR"/>
              </w:rPr>
            </w:pPr>
            <w:r w:rsidRPr="009D7643">
              <w:rPr>
                <w:rFonts w:eastAsia="Times New Roman" w:cs="Arial"/>
                <w:sz w:val="18"/>
                <w:szCs w:val="18"/>
                <w:lang w:eastAsia="fr-FR"/>
              </w:rPr>
              <w:t>438 860,20 €</w:t>
            </w:r>
          </w:p>
        </w:tc>
      </w:tr>
      <w:tr w:rsidR="009D7643" w:rsidRPr="009D7643" w:rsidTr="009D7643">
        <w:trPr>
          <w:trHeight w:val="255"/>
        </w:trPr>
        <w:tc>
          <w:tcPr>
            <w:tcW w:w="5960" w:type="dxa"/>
            <w:tcBorders>
              <w:top w:val="nil"/>
              <w:left w:val="single" w:sz="8" w:space="0" w:color="auto"/>
              <w:bottom w:val="nil"/>
              <w:right w:val="nil"/>
            </w:tcBorders>
            <w:shd w:val="clear" w:color="auto" w:fill="auto"/>
            <w:noWrap/>
            <w:vAlign w:val="center"/>
            <w:hideMark/>
          </w:tcPr>
          <w:p w:rsidR="009D7643" w:rsidRPr="009D7643" w:rsidRDefault="009D7643" w:rsidP="009D7643">
            <w:pPr>
              <w:spacing w:line="240" w:lineRule="auto"/>
              <w:jc w:val="left"/>
              <w:rPr>
                <w:rFonts w:eastAsia="Times New Roman" w:cs="Arial"/>
                <w:sz w:val="18"/>
                <w:szCs w:val="18"/>
                <w:lang w:eastAsia="fr-FR"/>
              </w:rPr>
            </w:pPr>
            <w:r w:rsidRPr="009D7643">
              <w:rPr>
                <w:rFonts w:eastAsia="Times New Roman" w:cs="Arial"/>
                <w:sz w:val="18"/>
                <w:szCs w:val="18"/>
                <w:lang w:eastAsia="fr-FR"/>
              </w:rPr>
              <w:t>0191203 - GESTION PATRIMONIALE DES RESEAUX ASSAINISSEMENT</w:t>
            </w:r>
          </w:p>
        </w:tc>
        <w:tc>
          <w:tcPr>
            <w:tcW w:w="2080" w:type="dxa"/>
            <w:tcBorders>
              <w:top w:val="nil"/>
              <w:left w:val="nil"/>
              <w:bottom w:val="nil"/>
              <w:right w:val="nil"/>
            </w:tcBorders>
            <w:shd w:val="clear" w:color="auto" w:fill="auto"/>
            <w:vAlign w:val="center"/>
            <w:hideMark/>
          </w:tcPr>
          <w:p w:rsidR="009D7643" w:rsidRPr="009D7643" w:rsidRDefault="009D7643" w:rsidP="009D7643">
            <w:pPr>
              <w:spacing w:line="240" w:lineRule="auto"/>
              <w:jc w:val="right"/>
              <w:rPr>
                <w:rFonts w:eastAsia="Times New Roman" w:cs="Arial"/>
                <w:sz w:val="18"/>
                <w:szCs w:val="18"/>
                <w:lang w:eastAsia="fr-FR"/>
              </w:rPr>
            </w:pPr>
            <w:r w:rsidRPr="009D7643">
              <w:rPr>
                <w:rFonts w:eastAsia="Times New Roman" w:cs="Arial"/>
                <w:sz w:val="18"/>
                <w:szCs w:val="18"/>
                <w:lang w:eastAsia="fr-FR"/>
              </w:rPr>
              <w:t>861 933,32 €</w:t>
            </w:r>
          </w:p>
        </w:tc>
        <w:tc>
          <w:tcPr>
            <w:tcW w:w="2080" w:type="dxa"/>
            <w:tcBorders>
              <w:top w:val="nil"/>
              <w:left w:val="nil"/>
              <w:bottom w:val="nil"/>
              <w:right w:val="single" w:sz="8" w:space="0" w:color="auto"/>
            </w:tcBorders>
            <w:shd w:val="clear" w:color="auto" w:fill="auto"/>
            <w:vAlign w:val="center"/>
            <w:hideMark/>
          </w:tcPr>
          <w:p w:rsidR="009D7643" w:rsidRPr="009D7643" w:rsidRDefault="009D7643" w:rsidP="009D7643">
            <w:pPr>
              <w:spacing w:line="240" w:lineRule="auto"/>
              <w:jc w:val="right"/>
              <w:rPr>
                <w:rFonts w:eastAsia="Times New Roman" w:cs="Arial"/>
                <w:sz w:val="18"/>
                <w:szCs w:val="18"/>
                <w:lang w:eastAsia="fr-FR"/>
              </w:rPr>
            </w:pPr>
            <w:r w:rsidRPr="009D7643">
              <w:rPr>
                <w:rFonts w:eastAsia="Times New Roman" w:cs="Arial"/>
                <w:sz w:val="18"/>
                <w:szCs w:val="18"/>
                <w:lang w:eastAsia="fr-FR"/>
              </w:rPr>
              <w:t>709 329,00 €</w:t>
            </w:r>
          </w:p>
        </w:tc>
      </w:tr>
      <w:tr w:rsidR="009D7643" w:rsidRPr="009D7643" w:rsidTr="009D7643">
        <w:trPr>
          <w:trHeight w:val="255"/>
        </w:trPr>
        <w:tc>
          <w:tcPr>
            <w:tcW w:w="5960" w:type="dxa"/>
            <w:tcBorders>
              <w:top w:val="nil"/>
              <w:left w:val="single" w:sz="8" w:space="0" w:color="auto"/>
              <w:bottom w:val="nil"/>
              <w:right w:val="nil"/>
            </w:tcBorders>
            <w:shd w:val="clear" w:color="auto" w:fill="auto"/>
            <w:noWrap/>
            <w:vAlign w:val="center"/>
            <w:hideMark/>
          </w:tcPr>
          <w:p w:rsidR="009D7643" w:rsidRPr="009D7643" w:rsidRDefault="009D7643" w:rsidP="009D7643">
            <w:pPr>
              <w:spacing w:line="240" w:lineRule="auto"/>
              <w:jc w:val="left"/>
              <w:rPr>
                <w:rFonts w:eastAsia="Times New Roman" w:cs="Arial"/>
                <w:sz w:val="18"/>
                <w:szCs w:val="18"/>
                <w:lang w:eastAsia="fr-FR"/>
              </w:rPr>
            </w:pPr>
            <w:r w:rsidRPr="009D7643">
              <w:rPr>
                <w:rFonts w:eastAsia="Times New Roman" w:cs="Arial"/>
                <w:sz w:val="18"/>
                <w:szCs w:val="18"/>
                <w:lang w:eastAsia="fr-FR"/>
              </w:rPr>
              <w:t>9191203 -  GESTION PATRIMONIALE RESEAUX D'ASSAINISSEMENT</w:t>
            </w:r>
          </w:p>
        </w:tc>
        <w:tc>
          <w:tcPr>
            <w:tcW w:w="2080" w:type="dxa"/>
            <w:tcBorders>
              <w:top w:val="nil"/>
              <w:left w:val="nil"/>
              <w:bottom w:val="nil"/>
              <w:right w:val="nil"/>
            </w:tcBorders>
            <w:shd w:val="clear" w:color="auto" w:fill="auto"/>
            <w:vAlign w:val="center"/>
            <w:hideMark/>
          </w:tcPr>
          <w:p w:rsidR="009D7643" w:rsidRPr="009D7643" w:rsidRDefault="009D7643" w:rsidP="009D7643">
            <w:pPr>
              <w:spacing w:line="240" w:lineRule="auto"/>
              <w:jc w:val="right"/>
              <w:rPr>
                <w:rFonts w:eastAsia="Times New Roman" w:cs="Arial"/>
                <w:sz w:val="18"/>
                <w:szCs w:val="18"/>
                <w:lang w:eastAsia="fr-FR"/>
              </w:rPr>
            </w:pPr>
            <w:r w:rsidRPr="009D7643">
              <w:rPr>
                <w:rFonts w:eastAsia="Times New Roman" w:cs="Arial"/>
                <w:sz w:val="18"/>
                <w:szCs w:val="18"/>
                <w:lang w:eastAsia="fr-FR"/>
              </w:rPr>
              <w:t>448 641,99 €</w:t>
            </w:r>
          </w:p>
        </w:tc>
        <w:tc>
          <w:tcPr>
            <w:tcW w:w="2080" w:type="dxa"/>
            <w:tcBorders>
              <w:top w:val="nil"/>
              <w:left w:val="nil"/>
              <w:bottom w:val="nil"/>
              <w:right w:val="single" w:sz="8" w:space="0" w:color="auto"/>
            </w:tcBorders>
            <w:shd w:val="clear" w:color="auto" w:fill="auto"/>
            <w:vAlign w:val="center"/>
            <w:hideMark/>
          </w:tcPr>
          <w:p w:rsidR="009D7643" w:rsidRPr="009D7643" w:rsidRDefault="009D7643" w:rsidP="009D7643">
            <w:pPr>
              <w:spacing w:line="240" w:lineRule="auto"/>
              <w:jc w:val="right"/>
              <w:rPr>
                <w:rFonts w:eastAsia="Times New Roman" w:cs="Arial"/>
                <w:sz w:val="18"/>
                <w:szCs w:val="18"/>
                <w:lang w:eastAsia="fr-FR"/>
              </w:rPr>
            </w:pPr>
            <w:r w:rsidRPr="009D7643">
              <w:rPr>
                <w:rFonts w:eastAsia="Times New Roman" w:cs="Arial"/>
                <w:sz w:val="18"/>
                <w:szCs w:val="18"/>
                <w:lang w:eastAsia="fr-FR"/>
              </w:rPr>
              <w:t>1 863 767,93 €</w:t>
            </w:r>
          </w:p>
        </w:tc>
      </w:tr>
      <w:tr w:rsidR="009D7643" w:rsidRPr="009D7643" w:rsidTr="009D7643">
        <w:trPr>
          <w:trHeight w:val="270"/>
        </w:trPr>
        <w:tc>
          <w:tcPr>
            <w:tcW w:w="5960" w:type="dxa"/>
            <w:tcBorders>
              <w:top w:val="nil"/>
              <w:left w:val="single" w:sz="8" w:space="0" w:color="auto"/>
              <w:bottom w:val="single" w:sz="8" w:space="0" w:color="auto"/>
              <w:right w:val="nil"/>
            </w:tcBorders>
            <w:shd w:val="clear" w:color="000000" w:fill="BFBFBF"/>
            <w:noWrap/>
            <w:vAlign w:val="center"/>
            <w:hideMark/>
          </w:tcPr>
          <w:p w:rsidR="009D7643" w:rsidRPr="009D7643" w:rsidRDefault="009D7643" w:rsidP="009D7643">
            <w:pPr>
              <w:spacing w:line="240" w:lineRule="auto"/>
              <w:jc w:val="left"/>
              <w:rPr>
                <w:rFonts w:eastAsia="Times New Roman" w:cs="Arial"/>
                <w:b/>
                <w:bCs/>
                <w:sz w:val="18"/>
                <w:szCs w:val="18"/>
                <w:lang w:eastAsia="fr-FR"/>
              </w:rPr>
            </w:pPr>
            <w:r w:rsidRPr="009D7643">
              <w:rPr>
                <w:rFonts w:eastAsia="Times New Roman" w:cs="Arial"/>
                <w:b/>
                <w:bCs/>
                <w:sz w:val="18"/>
                <w:szCs w:val="18"/>
                <w:lang w:eastAsia="fr-FR"/>
              </w:rPr>
              <w:t>Total général</w:t>
            </w:r>
          </w:p>
        </w:tc>
        <w:tc>
          <w:tcPr>
            <w:tcW w:w="2080" w:type="dxa"/>
            <w:tcBorders>
              <w:top w:val="nil"/>
              <w:left w:val="nil"/>
              <w:bottom w:val="single" w:sz="8" w:space="0" w:color="auto"/>
              <w:right w:val="nil"/>
            </w:tcBorders>
            <w:shd w:val="clear" w:color="000000" w:fill="BFBFBF"/>
            <w:vAlign w:val="center"/>
            <w:hideMark/>
          </w:tcPr>
          <w:p w:rsidR="009D7643" w:rsidRPr="009D7643" w:rsidRDefault="009D7643" w:rsidP="009D7643">
            <w:pPr>
              <w:spacing w:line="240" w:lineRule="auto"/>
              <w:jc w:val="right"/>
              <w:rPr>
                <w:rFonts w:eastAsia="Times New Roman" w:cs="Arial"/>
                <w:b/>
                <w:bCs/>
                <w:sz w:val="18"/>
                <w:szCs w:val="18"/>
                <w:lang w:eastAsia="fr-FR"/>
              </w:rPr>
            </w:pPr>
            <w:r w:rsidRPr="009D7643">
              <w:rPr>
                <w:rFonts w:eastAsia="Times New Roman" w:cs="Arial"/>
                <w:b/>
                <w:bCs/>
                <w:sz w:val="18"/>
                <w:szCs w:val="18"/>
                <w:lang w:eastAsia="fr-FR"/>
              </w:rPr>
              <w:t>1 310 575,31 €</w:t>
            </w:r>
          </w:p>
        </w:tc>
        <w:tc>
          <w:tcPr>
            <w:tcW w:w="2080" w:type="dxa"/>
            <w:tcBorders>
              <w:top w:val="nil"/>
              <w:left w:val="nil"/>
              <w:bottom w:val="single" w:sz="8" w:space="0" w:color="auto"/>
              <w:right w:val="single" w:sz="8" w:space="0" w:color="auto"/>
            </w:tcBorders>
            <w:shd w:val="clear" w:color="000000" w:fill="BFBFBF"/>
            <w:vAlign w:val="center"/>
            <w:hideMark/>
          </w:tcPr>
          <w:p w:rsidR="009D7643" w:rsidRPr="009D7643" w:rsidRDefault="009D7643" w:rsidP="009D7643">
            <w:pPr>
              <w:spacing w:line="240" w:lineRule="auto"/>
              <w:jc w:val="right"/>
              <w:rPr>
                <w:rFonts w:eastAsia="Times New Roman" w:cs="Arial"/>
                <w:b/>
                <w:bCs/>
                <w:sz w:val="18"/>
                <w:szCs w:val="18"/>
                <w:lang w:eastAsia="fr-FR"/>
              </w:rPr>
            </w:pPr>
            <w:r w:rsidRPr="009D7643">
              <w:rPr>
                <w:rFonts w:eastAsia="Times New Roman" w:cs="Arial"/>
                <w:b/>
                <w:bCs/>
                <w:sz w:val="18"/>
                <w:szCs w:val="18"/>
                <w:lang w:eastAsia="fr-FR"/>
              </w:rPr>
              <w:t>3 011 957,13 €</w:t>
            </w:r>
          </w:p>
        </w:tc>
      </w:tr>
    </w:tbl>
    <w:p w:rsidR="00004644" w:rsidRDefault="00004644" w:rsidP="00BA39CE">
      <w:pPr>
        <w:rPr>
          <w:highlight w:val="cyan"/>
        </w:rPr>
      </w:pPr>
    </w:p>
    <w:p w:rsidR="0000212C" w:rsidRDefault="00A1062F" w:rsidP="0000212C">
      <w:pPr>
        <w:rPr>
          <w:rFonts w:cs="Tahoma"/>
          <w:szCs w:val="20"/>
        </w:rPr>
      </w:pPr>
      <w:r w:rsidRPr="0000212C">
        <w:t>Sur le programme « </w:t>
      </w:r>
      <w:r w:rsidRPr="0000212C">
        <w:rPr>
          <w:b/>
        </w:rPr>
        <w:t>gestion patrimoniale des réseaux d’assainissement</w:t>
      </w:r>
      <w:r w:rsidRPr="0000212C">
        <w:t xml:space="preserve"> » les recettes sont en </w:t>
      </w:r>
      <w:r w:rsidR="00A160C9">
        <w:t>forte</w:t>
      </w:r>
      <w:r w:rsidRPr="0000212C">
        <w:t xml:space="preserve"> </w:t>
      </w:r>
      <w:r w:rsidR="00A160C9">
        <w:t>progression en raison de la montée en puissance du programme de réhabilitation et d’extension du réseau.</w:t>
      </w:r>
    </w:p>
    <w:p w:rsidR="0000212C" w:rsidRPr="0000212C" w:rsidRDefault="0000212C" w:rsidP="0000212C">
      <w:pPr>
        <w:rPr>
          <w:rFonts w:cs="Tahoma"/>
          <w:szCs w:val="20"/>
        </w:rPr>
      </w:pPr>
    </w:p>
    <w:p w:rsidR="00070AF8" w:rsidRPr="0000212C" w:rsidRDefault="00070AF8" w:rsidP="00B01171">
      <w:pPr>
        <w:pStyle w:val="Titre4"/>
      </w:pPr>
      <w:r w:rsidRPr="0000212C">
        <w:t>Le</w:t>
      </w:r>
      <w:r w:rsidR="00BA39CE" w:rsidRPr="0000212C">
        <w:t xml:space="preserve"> fonds de compensation de la TVA</w:t>
      </w:r>
    </w:p>
    <w:p w:rsidR="00A80911" w:rsidRPr="009E3423" w:rsidRDefault="00A80911" w:rsidP="007541CB">
      <w:pPr>
        <w:rPr>
          <w:highlight w:val="cyan"/>
        </w:rPr>
      </w:pPr>
    </w:p>
    <w:tbl>
      <w:tblPr>
        <w:tblW w:w="5126" w:type="pct"/>
        <w:tblCellMar>
          <w:left w:w="70" w:type="dxa"/>
          <w:right w:w="70" w:type="dxa"/>
        </w:tblCellMar>
        <w:tblLook w:val="04A0" w:firstRow="1" w:lastRow="0" w:firstColumn="1" w:lastColumn="0" w:noHBand="0" w:noVBand="1"/>
      </w:tblPr>
      <w:tblGrid>
        <w:gridCol w:w="6406"/>
        <w:gridCol w:w="1810"/>
        <w:gridCol w:w="1808"/>
      </w:tblGrid>
      <w:tr w:rsidR="008423E6" w:rsidRPr="001D29E2" w:rsidTr="008423E6">
        <w:trPr>
          <w:trHeight w:val="255"/>
        </w:trPr>
        <w:tc>
          <w:tcPr>
            <w:tcW w:w="3195" w:type="pct"/>
            <w:tcBorders>
              <w:top w:val="single" w:sz="4" w:space="0" w:color="auto"/>
              <w:left w:val="single" w:sz="4" w:space="0" w:color="auto"/>
              <w:bottom w:val="nil"/>
              <w:right w:val="nil"/>
            </w:tcBorders>
            <w:shd w:val="clear" w:color="FFFFFF" w:fill="CE013C"/>
            <w:noWrap/>
            <w:vAlign w:val="bottom"/>
            <w:hideMark/>
          </w:tcPr>
          <w:p w:rsidR="008423E6" w:rsidRPr="001D29E2" w:rsidRDefault="008423E6" w:rsidP="00004644">
            <w:pPr>
              <w:spacing w:line="240" w:lineRule="auto"/>
              <w:jc w:val="left"/>
              <w:rPr>
                <w:rFonts w:eastAsia="Times New Roman" w:cs="Arial"/>
                <w:b/>
                <w:bCs/>
                <w:color w:val="FFFFFF"/>
                <w:sz w:val="18"/>
                <w:szCs w:val="20"/>
                <w:lang w:eastAsia="fr-FR"/>
              </w:rPr>
            </w:pPr>
            <w:r w:rsidRPr="001D29E2">
              <w:rPr>
                <w:rFonts w:eastAsia="Times New Roman" w:cs="Arial"/>
                <w:b/>
                <w:bCs/>
                <w:color w:val="FFFFFF"/>
                <w:sz w:val="18"/>
                <w:szCs w:val="20"/>
                <w:lang w:eastAsia="fr-FR"/>
              </w:rPr>
              <w:t>Programme</w:t>
            </w:r>
          </w:p>
        </w:tc>
        <w:tc>
          <w:tcPr>
            <w:tcW w:w="903" w:type="pct"/>
            <w:tcBorders>
              <w:top w:val="single" w:sz="4" w:space="0" w:color="auto"/>
              <w:left w:val="nil"/>
              <w:bottom w:val="nil"/>
              <w:right w:val="nil"/>
            </w:tcBorders>
            <w:shd w:val="clear" w:color="FFFFFF" w:fill="CE013C"/>
            <w:vAlign w:val="bottom"/>
          </w:tcPr>
          <w:p w:rsidR="008423E6" w:rsidRPr="001D29E2" w:rsidRDefault="008423E6" w:rsidP="00262C5C">
            <w:pPr>
              <w:spacing w:line="240" w:lineRule="auto"/>
              <w:jc w:val="center"/>
              <w:rPr>
                <w:rFonts w:eastAsia="Times New Roman" w:cs="Arial"/>
                <w:b/>
                <w:bCs/>
                <w:color w:val="FFFFFF"/>
                <w:sz w:val="18"/>
                <w:szCs w:val="20"/>
                <w:lang w:eastAsia="fr-FR"/>
              </w:rPr>
            </w:pPr>
            <w:r w:rsidRPr="001D29E2">
              <w:rPr>
                <w:rFonts w:eastAsia="Times New Roman" w:cs="Arial"/>
                <w:b/>
                <w:bCs/>
                <w:color w:val="FFFFFF"/>
                <w:sz w:val="18"/>
                <w:szCs w:val="20"/>
                <w:lang w:eastAsia="fr-FR"/>
              </w:rPr>
              <w:t>CA 2016</w:t>
            </w:r>
          </w:p>
        </w:tc>
        <w:tc>
          <w:tcPr>
            <w:tcW w:w="903" w:type="pct"/>
            <w:tcBorders>
              <w:top w:val="single" w:sz="4" w:space="0" w:color="auto"/>
              <w:left w:val="nil"/>
              <w:bottom w:val="nil"/>
              <w:right w:val="single" w:sz="4" w:space="0" w:color="auto"/>
            </w:tcBorders>
            <w:shd w:val="clear" w:color="FFFFFF" w:fill="CE013C"/>
            <w:noWrap/>
            <w:vAlign w:val="bottom"/>
            <w:hideMark/>
          </w:tcPr>
          <w:p w:rsidR="008423E6" w:rsidRPr="001D29E2" w:rsidRDefault="00262C5C" w:rsidP="00262C5C">
            <w:pPr>
              <w:spacing w:line="240" w:lineRule="auto"/>
              <w:jc w:val="center"/>
              <w:rPr>
                <w:rFonts w:eastAsia="Times New Roman" w:cs="Arial"/>
                <w:b/>
                <w:bCs/>
                <w:color w:val="FFFFFF"/>
                <w:sz w:val="18"/>
                <w:szCs w:val="20"/>
                <w:lang w:eastAsia="fr-FR"/>
              </w:rPr>
            </w:pPr>
            <w:r>
              <w:rPr>
                <w:rFonts w:eastAsia="Times New Roman" w:cs="Arial"/>
                <w:b/>
                <w:bCs/>
                <w:color w:val="FFFFFF"/>
                <w:sz w:val="18"/>
                <w:szCs w:val="20"/>
                <w:lang w:eastAsia="fr-FR"/>
              </w:rPr>
              <w:t>CA 2017</w:t>
            </w:r>
          </w:p>
        </w:tc>
      </w:tr>
      <w:tr w:rsidR="008423E6" w:rsidRPr="001D29E2" w:rsidTr="008423E6">
        <w:trPr>
          <w:trHeight w:val="255"/>
        </w:trPr>
        <w:tc>
          <w:tcPr>
            <w:tcW w:w="3195" w:type="pct"/>
            <w:tcBorders>
              <w:top w:val="nil"/>
              <w:left w:val="single" w:sz="4" w:space="0" w:color="auto"/>
              <w:bottom w:val="single" w:sz="4" w:space="0" w:color="auto"/>
              <w:right w:val="nil"/>
            </w:tcBorders>
            <w:shd w:val="clear" w:color="FFFFFF" w:fill="auto"/>
            <w:noWrap/>
            <w:vAlign w:val="bottom"/>
            <w:hideMark/>
          </w:tcPr>
          <w:p w:rsidR="008423E6" w:rsidRPr="001D29E2" w:rsidRDefault="008423E6" w:rsidP="00004644">
            <w:pPr>
              <w:spacing w:line="240" w:lineRule="auto"/>
              <w:jc w:val="left"/>
              <w:rPr>
                <w:rFonts w:eastAsia="Times New Roman" w:cs="Arial"/>
                <w:sz w:val="18"/>
                <w:szCs w:val="20"/>
                <w:lang w:eastAsia="fr-FR"/>
              </w:rPr>
            </w:pPr>
            <w:r w:rsidRPr="001D29E2">
              <w:rPr>
                <w:rFonts w:eastAsia="Times New Roman" w:cs="Arial"/>
                <w:sz w:val="18"/>
                <w:szCs w:val="20"/>
                <w:lang w:eastAsia="fr-FR"/>
              </w:rPr>
              <w:t>0191210 -  RESSOURCES INVESTISSEMENT</w:t>
            </w:r>
          </w:p>
        </w:tc>
        <w:tc>
          <w:tcPr>
            <w:tcW w:w="903" w:type="pct"/>
            <w:tcBorders>
              <w:top w:val="nil"/>
              <w:left w:val="nil"/>
              <w:bottom w:val="single" w:sz="4" w:space="0" w:color="auto"/>
              <w:right w:val="nil"/>
            </w:tcBorders>
            <w:shd w:val="clear" w:color="FFFFFF" w:fill="auto"/>
            <w:vAlign w:val="bottom"/>
          </w:tcPr>
          <w:p w:rsidR="008423E6" w:rsidRPr="001D29E2" w:rsidRDefault="008423E6" w:rsidP="00A160C9">
            <w:pPr>
              <w:spacing w:line="240" w:lineRule="auto"/>
              <w:jc w:val="right"/>
              <w:rPr>
                <w:rFonts w:eastAsia="Times New Roman" w:cs="Arial"/>
                <w:sz w:val="18"/>
                <w:szCs w:val="20"/>
                <w:lang w:eastAsia="fr-FR"/>
              </w:rPr>
            </w:pPr>
            <w:r w:rsidRPr="001D29E2">
              <w:rPr>
                <w:rFonts w:eastAsia="Times New Roman" w:cs="Arial"/>
                <w:sz w:val="18"/>
                <w:szCs w:val="20"/>
                <w:lang w:eastAsia="fr-FR"/>
              </w:rPr>
              <w:t xml:space="preserve"> 1 224 079,00 € </w:t>
            </w:r>
          </w:p>
        </w:tc>
        <w:tc>
          <w:tcPr>
            <w:tcW w:w="903" w:type="pct"/>
            <w:tcBorders>
              <w:top w:val="nil"/>
              <w:left w:val="nil"/>
              <w:bottom w:val="single" w:sz="4" w:space="0" w:color="auto"/>
              <w:right w:val="single" w:sz="4" w:space="0" w:color="auto"/>
            </w:tcBorders>
            <w:shd w:val="clear" w:color="FFFFFF" w:fill="auto"/>
            <w:noWrap/>
            <w:vAlign w:val="bottom"/>
            <w:hideMark/>
          </w:tcPr>
          <w:p w:rsidR="008423E6" w:rsidRPr="001D29E2" w:rsidRDefault="00A160C9" w:rsidP="00A160C9">
            <w:pPr>
              <w:spacing w:line="240" w:lineRule="auto"/>
              <w:jc w:val="right"/>
              <w:rPr>
                <w:rFonts w:eastAsia="Times New Roman" w:cs="Arial"/>
                <w:sz w:val="18"/>
                <w:szCs w:val="20"/>
                <w:lang w:eastAsia="fr-FR"/>
              </w:rPr>
            </w:pPr>
            <w:r>
              <w:rPr>
                <w:rFonts w:eastAsia="Times New Roman" w:cs="Arial"/>
                <w:sz w:val="18"/>
                <w:szCs w:val="20"/>
                <w:lang w:eastAsia="fr-FR"/>
              </w:rPr>
              <w:t>2 423 414,00€</w:t>
            </w:r>
          </w:p>
        </w:tc>
      </w:tr>
    </w:tbl>
    <w:p w:rsidR="0000212C" w:rsidRDefault="0000212C" w:rsidP="0000212C"/>
    <w:p w:rsidR="0000212C" w:rsidRDefault="004879CF" w:rsidP="0000212C">
      <w:r w:rsidRPr="0000212C">
        <w:t xml:space="preserve">Pour rappel, le Fonds de Compensation de la </w:t>
      </w:r>
      <w:r w:rsidR="002B2FE7">
        <w:t>TVA</w:t>
      </w:r>
      <w:r w:rsidRPr="0000212C">
        <w:t xml:space="preserve"> est une dotation versée par l’Etat aux collectivit</w:t>
      </w:r>
      <w:r w:rsidR="002B2FE7">
        <w:t xml:space="preserve">és pour compenser la charge de la TVA </w:t>
      </w:r>
      <w:r w:rsidRPr="0000212C">
        <w:t xml:space="preserve">sur leurs investissements. </w:t>
      </w:r>
      <w:r w:rsidR="002B2FE7">
        <w:t>Il est perçu</w:t>
      </w:r>
      <w:r w:rsidRPr="0000212C">
        <w:t xml:space="preserve"> trimestriellement sur le même exercice que celui de réalisation des dépenses éligibles (contrairement à d’autres collectivités qu</w:t>
      </w:r>
      <w:r w:rsidR="0000212C">
        <w:t xml:space="preserve">i le perçoivent en n+1 ou n+2). </w:t>
      </w:r>
      <w:r w:rsidR="0000212C" w:rsidRPr="0000212C">
        <w:t>En 201</w:t>
      </w:r>
      <w:r w:rsidR="00A160C9">
        <w:t>7</w:t>
      </w:r>
      <w:r w:rsidRPr="0000212C">
        <w:t xml:space="preserve"> les recettes du FCTVA </w:t>
      </w:r>
      <w:r w:rsidR="0000212C" w:rsidRPr="0000212C">
        <w:t xml:space="preserve">s’élevaient à plus de </w:t>
      </w:r>
      <w:r w:rsidR="00A160C9">
        <w:t>2,4 M€ soit une progression de +98,0</w:t>
      </w:r>
      <w:r w:rsidR="0000212C" w:rsidRPr="0000212C">
        <w:t>% par rapport à</w:t>
      </w:r>
      <w:r w:rsidR="00C7509A">
        <w:t xml:space="preserve"> 2016</w:t>
      </w:r>
      <w:r w:rsidR="0000212C">
        <w:t xml:space="preserve">, </w:t>
      </w:r>
      <w:r w:rsidR="00A160C9">
        <w:t xml:space="preserve">en raison de </w:t>
      </w:r>
      <w:r w:rsidR="0000212C">
        <w:t>la progression constatée des dépenses d’investissement</w:t>
      </w:r>
      <w:r w:rsidR="0000212C" w:rsidRPr="0000212C">
        <w:t>.</w:t>
      </w:r>
    </w:p>
    <w:p w:rsidR="0000212C" w:rsidRPr="0000212C" w:rsidRDefault="0000212C" w:rsidP="002D73E5"/>
    <w:p w:rsidR="00A80911" w:rsidRDefault="00A80911" w:rsidP="00B01171">
      <w:pPr>
        <w:pStyle w:val="Titre4"/>
      </w:pPr>
      <w:r w:rsidRPr="0000212C">
        <w:t>Les prêts à taux zéro de Agence de l’eau</w:t>
      </w:r>
      <w:r w:rsidR="00004644" w:rsidRPr="0000212C">
        <w:t xml:space="preserve"> et autres emprunts</w:t>
      </w:r>
    </w:p>
    <w:p w:rsidR="002D73E5" w:rsidRPr="002D73E5" w:rsidRDefault="002D73E5" w:rsidP="002D73E5"/>
    <w:tbl>
      <w:tblPr>
        <w:tblW w:w="5126" w:type="pct"/>
        <w:tblCellMar>
          <w:left w:w="70" w:type="dxa"/>
          <w:right w:w="70" w:type="dxa"/>
        </w:tblCellMar>
        <w:tblLook w:val="04A0" w:firstRow="1" w:lastRow="0" w:firstColumn="1" w:lastColumn="0" w:noHBand="0" w:noVBand="1"/>
      </w:tblPr>
      <w:tblGrid>
        <w:gridCol w:w="6406"/>
        <w:gridCol w:w="1810"/>
        <w:gridCol w:w="1808"/>
      </w:tblGrid>
      <w:tr w:rsidR="008423E6" w:rsidRPr="001D29E2" w:rsidTr="008423E6">
        <w:trPr>
          <w:trHeight w:val="255"/>
        </w:trPr>
        <w:tc>
          <w:tcPr>
            <w:tcW w:w="3195" w:type="pct"/>
            <w:tcBorders>
              <w:top w:val="single" w:sz="4" w:space="0" w:color="auto"/>
              <w:left w:val="single" w:sz="4" w:space="0" w:color="auto"/>
              <w:bottom w:val="nil"/>
              <w:right w:val="nil"/>
            </w:tcBorders>
            <w:shd w:val="clear" w:color="FFFFFF" w:fill="CE013C"/>
            <w:noWrap/>
            <w:vAlign w:val="bottom"/>
            <w:hideMark/>
          </w:tcPr>
          <w:p w:rsidR="008423E6" w:rsidRPr="001D29E2" w:rsidRDefault="008423E6" w:rsidP="002D73E5">
            <w:pPr>
              <w:spacing w:line="240" w:lineRule="auto"/>
              <w:jc w:val="left"/>
              <w:rPr>
                <w:rFonts w:eastAsia="Times New Roman" w:cs="Arial"/>
                <w:b/>
                <w:bCs/>
                <w:color w:val="FFFFFF"/>
                <w:sz w:val="18"/>
                <w:szCs w:val="20"/>
                <w:lang w:eastAsia="fr-FR"/>
              </w:rPr>
            </w:pPr>
            <w:r w:rsidRPr="001D29E2">
              <w:rPr>
                <w:rFonts w:eastAsia="Times New Roman" w:cs="Arial"/>
                <w:b/>
                <w:bCs/>
                <w:color w:val="FFFFFF"/>
                <w:sz w:val="18"/>
                <w:szCs w:val="20"/>
                <w:lang w:eastAsia="fr-FR"/>
              </w:rPr>
              <w:t>Programme</w:t>
            </w:r>
          </w:p>
        </w:tc>
        <w:tc>
          <w:tcPr>
            <w:tcW w:w="903" w:type="pct"/>
            <w:tcBorders>
              <w:top w:val="single" w:sz="4" w:space="0" w:color="auto"/>
              <w:left w:val="nil"/>
              <w:bottom w:val="nil"/>
              <w:right w:val="nil"/>
            </w:tcBorders>
            <w:shd w:val="clear" w:color="FFFFFF" w:fill="CE013C"/>
            <w:vAlign w:val="bottom"/>
          </w:tcPr>
          <w:p w:rsidR="008423E6" w:rsidRPr="001D29E2" w:rsidRDefault="008423E6" w:rsidP="00262C5C">
            <w:pPr>
              <w:spacing w:line="240" w:lineRule="auto"/>
              <w:jc w:val="center"/>
              <w:rPr>
                <w:rFonts w:eastAsia="Times New Roman" w:cs="Arial"/>
                <w:b/>
                <w:bCs/>
                <w:color w:val="FFFFFF"/>
                <w:sz w:val="18"/>
                <w:szCs w:val="20"/>
                <w:lang w:eastAsia="fr-FR"/>
              </w:rPr>
            </w:pPr>
            <w:r w:rsidRPr="001D29E2">
              <w:rPr>
                <w:rFonts w:eastAsia="Times New Roman" w:cs="Arial"/>
                <w:b/>
                <w:bCs/>
                <w:color w:val="FFFFFF"/>
                <w:sz w:val="18"/>
                <w:szCs w:val="20"/>
                <w:lang w:eastAsia="fr-FR"/>
              </w:rPr>
              <w:t>CA 2016</w:t>
            </w:r>
          </w:p>
        </w:tc>
        <w:tc>
          <w:tcPr>
            <w:tcW w:w="903" w:type="pct"/>
            <w:tcBorders>
              <w:top w:val="single" w:sz="4" w:space="0" w:color="auto"/>
              <w:left w:val="nil"/>
              <w:bottom w:val="nil"/>
              <w:right w:val="single" w:sz="4" w:space="0" w:color="auto"/>
            </w:tcBorders>
            <w:shd w:val="clear" w:color="FFFFFF" w:fill="CE013C"/>
            <w:noWrap/>
            <w:vAlign w:val="bottom"/>
            <w:hideMark/>
          </w:tcPr>
          <w:p w:rsidR="008423E6" w:rsidRPr="001D29E2" w:rsidRDefault="00262C5C" w:rsidP="00262C5C">
            <w:pPr>
              <w:spacing w:line="240" w:lineRule="auto"/>
              <w:jc w:val="center"/>
              <w:rPr>
                <w:rFonts w:eastAsia="Times New Roman" w:cs="Arial"/>
                <w:b/>
                <w:bCs/>
                <w:color w:val="FFFFFF"/>
                <w:sz w:val="18"/>
                <w:szCs w:val="20"/>
                <w:lang w:eastAsia="fr-FR"/>
              </w:rPr>
            </w:pPr>
            <w:r>
              <w:rPr>
                <w:rFonts w:eastAsia="Times New Roman" w:cs="Arial"/>
                <w:b/>
                <w:bCs/>
                <w:color w:val="FFFFFF"/>
                <w:sz w:val="18"/>
                <w:szCs w:val="20"/>
                <w:lang w:eastAsia="fr-FR"/>
              </w:rPr>
              <w:t>CA 2017</w:t>
            </w:r>
          </w:p>
        </w:tc>
      </w:tr>
      <w:tr w:rsidR="008423E6" w:rsidRPr="001D29E2" w:rsidTr="008423E6">
        <w:trPr>
          <w:trHeight w:val="255"/>
        </w:trPr>
        <w:tc>
          <w:tcPr>
            <w:tcW w:w="3195" w:type="pct"/>
            <w:tcBorders>
              <w:top w:val="nil"/>
              <w:left w:val="single" w:sz="4" w:space="0" w:color="auto"/>
              <w:bottom w:val="single" w:sz="4" w:space="0" w:color="auto"/>
              <w:right w:val="nil"/>
            </w:tcBorders>
            <w:shd w:val="clear" w:color="FFFFFF" w:fill="auto"/>
            <w:noWrap/>
            <w:vAlign w:val="bottom"/>
            <w:hideMark/>
          </w:tcPr>
          <w:p w:rsidR="008423E6" w:rsidRPr="001D29E2" w:rsidRDefault="008423E6" w:rsidP="002D73E5">
            <w:pPr>
              <w:spacing w:line="240" w:lineRule="auto"/>
              <w:jc w:val="left"/>
              <w:rPr>
                <w:rFonts w:eastAsia="Times New Roman" w:cs="Arial"/>
                <w:sz w:val="18"/>
                <w:szCs w:val="20"/>
                <w:lang w:eastAsia="fr-FR"/>
              </w:rPr>
            </w:pPr>
            <w:r w:rsidRPr="001D29E2">
              <w:rPr>
                <w:rFonts w:eastAsia="Times New Roman" w:cs="Arial"/>
                <w:sz w:val="18"/>
                <w:szCs w:val="20"/>
                <w:lang w:eastAsia="fr-FR"/>
              </w:rPr>
              <w:t>0191211 - GESTION ACTIVE DE LA DETTE</w:t>
            </w:r>
          </w:p>
        </w:tc>
        <w:tc>
          <w:tcPr>
            <w:tcW w:w="903" w:type="pct"/>
            <w:tcBorders>
              <w:top w:val="nil"/>
              <w:left w:val="nil"/>
              <w:bottom w:val="single" w:sz="4" w:space="0" w:color="auto"/>
              <w:right w:val="nil"/>
            </w:tcBorders>
            <w:shd w:val="clear" w:color="FFFFFF" w:fill="auto"/>
            <w:vAlign w:val="bottom"/>
          </w:tcPr>
          <w:p w:rsidR="008423E6" w:rsidRPr="001D29E2" w:rsidRDefault="008423E6" w:rsidP="00A160C9">
            <w:pPr>
              <w:spacing w:line="240" w:lineRule="auto"/>
              <w:jc w:val="right"/>
              <w:rPr>
                <w:rFonts w:eastAsia="Times New Roman" w:cs="Arial"/>
                <w:sz w:val="18"/>
                <w:szCs w:val="20"/>
                <w:lang w:eastAsia="fr-FR"/>
              </w:rPr>
            </w:pPr>
            <w:r w:rsidRPr="001D29E2">
              <w:rPr>
                <w:rFonts w:eastAsia="Times New Roman" w:cs="Arial"/>
                <w:sz w:val="18"/>
                <w:szCs w:val="20"/>
                <w:lang w:eastAsia="fr-FR"/>
              </w:rPr>
              <w:t xml:space="preserve">    642 079,00 € </w:t>
            </w:r>
          </w:p>
        </w:tc>
        <w:tc>
          <w:tcPr>
            <w:tcW w:w="903" w:type="pct"/>
            <w:tcBorders>
              <w:top w:val="nil"/>
              <w:left w:val="nil"/>
              <w:bottom w:val="single" w:sz="4" w:space="0" w:color="auto"/>
              <w:right w:val="single" w:sz="4" w:space="0" w:color="auto"/>
            </w:tcBorders>
            <w:shd w:val="clear" w:color="FFFFFF" w:fill="auto"/>
            <w:noWrap/>
            <w:vAlign w:val="bottom"/>
            <w:hideMark/>
          </w:tcPr>
          <w:p w:rsidR="008423E6" w:rsidRPr="001D29E2" w:rsidRDefault="00A160C9" w:rsidP="00A160C9">
            <w:pPr>
              <w:spacing w:line="240" w:lineRule="auto"/>
              <w:jc w:val="right"/>
              <w:rPr>
                <w:rFonts w:eastAsia="Times New Roman" w:cs="Arial"/>
                <w:sz w:val="18"/>
                <w:szCs w:val="20"/>
                <w:lang w:eastAsia="fr-FR"/>
              </w:rPr>
            </w:pPr>
            <w:r>
              <w:rPr>
                <w:rFonts w:eastAsia="Times New Roman" w:cs="Arial"/>
                <w:sz w:val="18"/>
                <w:szCs w:val="20"/>
                <w:lang w:eastAsia="fr-FR"/>
              </w:rPr>
              <w:t>4 940 706,00 €</w:t>
            </w:r>
          </w:p>
        </w:tc>
      </w:tr>
    </w:tbl>
    <w:p w:rsidR="00070AF8" w:rsidRPr="0000212C" w:rsidRDefault="00070AF8" w:rsidP="002D73E5"/>
    <w:p w:rsidR="00BC1C1B" w:rsidRPr="0000212C" w:rsidRDefault="00BC1C1B" w:rsidP="002D73E5">
      <w:r w:rsidRPr="0000212C">
        <w:t>Les recettes d’investissement sur le programme « </w:t>
      </w:r>
      <w:r w:rsidRPr="0000212C">
        <w:rPr>
          <w:b/>
        </w:rPr>
        <w:t>gestion active de la</w:t>
      </w:r>
      <w:r w:rsidRPr="0000212C">
        <w:t xml:space="preserve"> </w:t>
      </w:r>
      <w:r w:rsidRPr="0000212C">
        <w:rPr>
          <w:b/>
        </w:rPr>
        <w:t xml:space="preserve">dette » </w:t>
      </w:r>
      <w:r w:rsidRPr="0000212C">
        <w:t xml:space="preserve">correspondent </w:t>
      </w:r>
      <w:r w:rsidR="00A160C9">
        <w:t xml:space="preserve">pour 3,3 M€ à l’emprunt d’équilibre contracté en 2016 et mobilisé en 2017 et pour 1,6 M€ </w:t>
      </w:r>
      <w:r w:rsidRPr="0000212C">
        <w:t xml:space="preserve">aux prêts à taux zéro consentis par l’Agence de l’Eau. </w:t>
      </w:r>
    </w:p>
    <w:p w:rsidR="00A80911" w:rsidRPr="009E3423" w:rsidRDefault="00A80911" w:rsidP="002D73E5">
      <w:pPr>
        <w:rPr>
          <w:highlight w:val="cyan"/>
        </w:rPr>
      </w:pPr>
    </w:p>
    <w:p w:rsidR="00BA39CE" w:rsidRDefault="00BA39CE" w:rsidP="002D73E5">
      <w:pPr>
        <w:pStyle w:val="Titre3"/>
        <w:spacing w:before="0"/>
      </w:pPr>
      <w:bookmarkStart w:id="93" w:name="_Toc509490447"/>
      <w:r w:rsidRPr="002D73E5">
        <w:t>Les dépenses d’investissement</w:t>
      </w:r>
      <w:bookmarkEnd w:id="93"/>
    </w:p>
    <w:p w:rsidR="002D73E5" w:rsidRPr="002D73E5" w:rsidRDefault="002D73E5" w:rsidP="002D73E5"/>
    <w:p w:rsidR="00BA39CE" w:rsidRDefault="00BA39CE" w:rsidP="008205BF">
      <w:pPr>
        <w:pStyle w:val="Titre4"/>
        <w:numPr>
          <w:ilvl w:val="0"/>
          <w:numId w:val="34"/>
        </w:numPr>
      </w:pPr>
      <w:r w:rsidRPr="002D73E5">
        <w:t>Les dépenses d'intervention</w:t>
      </w:r>
    </w:p>
    <w:p w:rsidR="002D73E5" w:rsidRPr="002D73E5" w:rsidRDefault="002D73E5" w:rsidP="002D73E5"/>
    <w:tbl>
      <w:tblPr>
        <w:tblW w:w="10120" w:type="dxa"/>
        <w:tblInd w:w="55" w:type="dxa"/>
        <w:tblCellMar>
          <w:left w:w="70" w:type="dxa"/>
          <w:right w:w="70" w:type="dxa"/>
        </w:tblCellMar>
        <w:tblLook w:val="04A0" w:firstRow="1" w:lastRow="0" w:firstColumn="1" w:lastColumn="0" w:noHBand="0" w:noVBand="1"/>
      </w:tblPr>
      <w:tblGrid>
        <w:gridCol w:w="5960"/>
        <w:gridCol w:w="2080"/>
        <w:gridCol w:w="2080"/>
      </w:tblGrid>
      <w:tr w:rsidR="002B2FE7" w:rsidRPr="002B2FE7" w:rsidTr="002B2FE7">
        <w:trPr>
          <w:trHeight w:val="255"/>
        </w:trPr>
        <w:tc>
          <w:tcPr>
            <w:tcW w:w="5960" w:type="dxa"/>
            <w:tcBorders>
              <w:top w:val="single" w:sz="8" w:space="0" w:color="auto"/>
              <w:left w:val="single" w:sz="8" w:space="0" w:color="auto"/>
              <w:bottom w:val="nil"/>
              <w:right w:val="nil"/>
            </w:tcBorders>
            <w:shd w:val="clear" w:color="000000" w:fill="CE013C"/>
            <w:noWrap/>
            <w:vAlign w:val="center"/>
            <w:hideMark/>
          </w:tcPr>
          <w:p w:rsidR="002B2FE7" w:rsidRPr="002B2FE7" w:rsidRDefault="002B2FE7" w:rsidP="002B2FE7">
            <w:pPr>
              <w:spacing w:line="240" w:lineRule="auto"/>
              <w:jc w:val="left"/>
              <w:rPr>
                <w:rFonts w:eastAsia="Times New Roman" w:cs="Arial"/>
                <w:b/>
                <w:bCs/>
                <w:color w:val="FFFFFF"/>
                <w:sz w:val="18"/>
                <w:szCs w:val="18"/>
                <w:lang w:eastAsia="fr-FR"/>
              </w:rPr>
            </w:pPr>
            <w:r w:rsidRPr="002B2FE7">
              <w:rPr>
                <w:rFonts w:eastAsia="Times New Roman" w:cs="Arial"/>
                <w:b/>
                <w:bCs/>
                <w:color w:val="FFFFFF"/>
                <w:sz w:val="18"/>
                <w:szCs w:val="18"/>
                <w:lang w:eastAsia="fr-FR"/>
              </w:rPr>
              <w:t>Programme</w:t>
            </w:r>
          </w:p>
        </w:tc>
        <w:tc>
          <w:tcPr>
            <w:tcW w:w="2080" w:type="dxa"/>
            <w:tcBorders>
              <w:top w:val="single" w:sz="8" w:space="0" w:color="auto"/>
              <w:left w:val="nil"/>
              <w:bottom w:val="nil"/>
              <w:right w:val="nil"/>
            </w:tcBorders>
            <w:shd w:val="clear" w:color="000000" w:fill="CE013C"/>
            <w:vAlign w:val="center"/>
            <w:hideMark/>
          </w:tcPr>
          <w:p w:rsidR="002B2FE7" w:rsidRPr="002B2FE7" w:rsidRDefault="002B2FE7" w:rsidP="002B2FE7">
            <w:pPr>
              <w:spacing w:line="240" w:lineRule="auto"/>
              <w:jc w:val="center"/>
              <w:rPr>
                <w:rFonts w:eastAsia="Times New Roman" w:cs="Arial"/>
                <w:b/>
                <w:bCs/>
                <w:color w:val="FFFFFF"/>
                <w:sz w:val="18"/>
                <w:szCs w:val="18"/>
                <w:lang w:eastAsia="fr-FR"/>
              </w:rPr>
            </w:pPr>
            <w:r w:rsidRPr="002B2FE7">
              <w:rPr>
                <w:rFonts w:eastAsia="Times New Roman" w:cs="Arial"/>
                <w:b/>
                <w:bCs/>
                <w:color w:val="FFFFFF"/>
                <w:sz w:val="18"/>
                <w:szCs w:val="18"/>
                <w:lang w:eastAsia="fr-FR"/>
              </w:rPr>
              <w:t>CA 2016</w:t>
            </w:r>
          </w:p>
        </w:tc>
        <w:tc>
          <w:tcPr>
            <w:tcW w:w="2080" w:type="dxa"/>
            <w:tcBorders>
              <w:top w:val="single" w:sz="8" w:space="0" w:color="auto"/>
              <w:left w:val="nil"/>
              <w:bottom w:val="nil"/>
              <w:right w:val="single" w:sz="8" w:space="0" w:color="auto"/>
            </w:tcBorders>
            <w:shd w:val="clear" w:color="000000" w:fill="CE013C"/>
            <w:noWrap/>
            <w:vAlign w:val="center"/>
            <w:hideMark/>
          </w:tcPr>
          <w:p w:rsidR="002B2FE7" w:rsidRPr="002B2FE7" w:rsidRDefault="002B2FE7" w:rsidP="002B2FE7">
            <w:pPr>
              <w:spacing w:line="240" w:lineRule="auto"/>
              <w:jc w:val="center"/>
              <w:rPr>
                <w:rFonts w:eastAsia="Times New Roman" w:cs="Arial"/>
                <w:b/>
                <w:bCs/>
                <w:color w:val="FFFFFF"/>
                <w:sz w:val="18"/>
                <w:szCs w:val="18"/>
                <w:lang w:eastAsia="fr-FR"/>
              </w:rPr>
            </w:pPr>
            <w:r w:rsidRPr="002B2FE7">
              <w:rPr>
                <w:rFonts w:eastAsia="Times New Roman" w:cs="Arial"/>
                <w:b/>
                <w:bCs/>
                <w:color w:val="FFFFFF"/>
                <w:sz w:val="18"/>
                <w:szCs w:val="18"/>
                <w:lang w:eastAsia="fr-FR"/>
              </w:rPr>
              <w:t>CA 2017</w:t>
            </w:r>
          </w:p>
        </w:tc>
      </w:tr>
      <w:tr w:rsidR="002B2FE7" w:rsidRPr="002B2FE7" w:rsidTr="002B2FE7">
        <w:trPr>
          <w:trHeight w:val="255"/>
        </w:trPr>
        <w:tc>
          <w:tcPr>
            <w:tcW w:w="5960" w:type="dxa"/>
            <w:tcBorders>
              <w:top w:val="nil"/>
              <w:left w:val="single" w:sz="8" w:space="0" w:color="auto"/>
              <w:bottom w:val="nil"/>
              <w:right w:val="nil"/>
            </w:tcBorders>
            <w:shd w:val="clear" w:color="auto" w:fill="auto"/>
            <w:noWrap/>
            <w:vAlign w:val="center"/>
            <w:hideMark/>
          </w:tcPr>
          <w:p w:rsidR="002B2FE7" w:rsidRPr="002B2FE7" w:rsidRDefault="002B2FE7" w:rsidP="002B2FE7">
            <w:pPr>
              <w:spacing w:line="240" w:lineRule="auto"/>
              <w:jc w:val="left"/>
              <w:rPr>
                <w:rFonts w:eastAsia="Times New Roman" w:cs="Arial"/>
                <w:sz w:val="18"/>
                <w:szCs w:val="18"/>
                <w:lang w:eastAsia="fr-FR"/>
              </w:rPr>
            </w:pPr>
            <w:r w:rsidRPr="002B2FE7">
              <w:rPr>
                <w:rFonts w:eastAsia="Times New Roman" w:cs="Arial"/>
                <w:sz w:val="18"/>
                <w:szCs w:val="18"/>
                <w:lang w:eastAsia="fr-FR"/>
              </w:rPr>
              <w:t>0191202 - LUTTE CONTRE LES INONDATIONS</w:t>
            </w:r>
          </w:p>
        </w:tc>
        <w:tc>
          <w:tcPr>
            <w:tcW w:w="2080" w:type="dxa"/>
            <w:tcBorders>
              <w:top w:val="nil"/>
              <w:left w:val="nil"/>
              <w:bottom w:val="nil"/>
              <w:right w:val="nil"/>
            </w:tcBorders>
            <w:shd w:val="clear" w:color="auto" w:fill="auto"/>
            <w:vAlign w:val="center"/>
            <w:hideMark/>
          </w:tcPr>
          <w:p w:rsidR="002B2FE7" w:rsidRPr="002B2FE7" w:rsidRDefault="002B2FE7" w:rsidP="002B2FE7">
            <w:pPr>
              <w:spacing w:line="240" w:lineRule="auto"/>
              <w:jc w:val="right"/>
              <w:rPr>
                <w:rFonts w:eastAsia="Times New Roman" w:cs="Arial"/>
                <w:sz w:val="18"/>
                <w:szCs w:val="18"/>
                <w:lang w:eastAsia="fr-FR"/>
              </w:rPr>
            </w:pPr>
            <w:r w:rsidRPr="002B2FE7">
              <w:rPr>
                <w:rFonts w:eastAsia="Times New Roman" w:cs="Arial"/>
                <w:sz w:val="18"/>
                <w:szCs w:val="18"/>
                <w:lang w:eastAsia="fr-FR"/>
              </w:rPr>
              <w:t>80 819,20 €</w:t>
            </w:r>
          </w:p>
        </w:tc>
        <w:tc>
          <w:tcPr>
            <w:tcW w:w="2080" w:type="dxa"/>
            <w:tcBorders>
              <w:top w:val="nil"/>
              <w:left w:val="nil"/>
              <w:bottom w:val="nil"/>
              <w:right w:val="single" w:sz="8" w:space="0" w:color="auto"/>
            </w:tcBorders>
            <w:shd w:val="clear" w:color="auto" w:fill="auto"/>
            <w:vAlign w:val="center"/>
            <w:hideMark/>
          </w:tcPr>
          <w:p w:rsidR="002B2FE7" w:rsidRPr="002B2FE7" w:rsidRDefault="002B2FE7" w:rsidP="002B2FE7">
            <w:pPr>
              <w:spacing w:line="240" w:lineRule="auto"/>
              <w:jc w:val="right"/>
              <w:rPr>
                <w:rFonts w:eastAsia="Times New Roman" w:cs="Arial"/>
                <w:sz w:val="18"/>
                <w:szCs w:val="18"/>
                <w:lang w:eastAsia="fr-FR"/>
              </w:rPr>
            </w:pPr>
            <w:r w:rsidRPr="002B2FE7">
              <w:rPr>
                <w:rFonts w:eastAsia="Times New Roman" w:cs="Arial"/>
                <w:sz w:val="18"/>
                <w:szCs w:val="18"/>
                <w:lang w:eastAsia="fr-FR"/>
              </w:rPr>
              <w:t>16 666,56 €</w:t>
            </w:r>
          </w:p>
        </w:tc>
      </w:tr>
      <w:tr w:rsidR="002B2FE7" w:rsidRPr="002B2FE7" w:rsidTr="002B2FE7">
        <w:trPr>
          <w:trHeight w:val="255"/>
        </w:trPr>
        <w:tc>
          <w:tcPr>
            <w:tcW w:w="5960" w:type="dxa"/>
            <w:tcBorders>
              <w:top w:val="nil"/>
              <w:left w:val="single" w:sz="8" w:space="0" w:color="auto"/>
              <w:bottom w:val="nil"/>
              <w:right w:val="nil"/>
            </w:tcBorders>
            <w:shd w:val="clear" w:color="auto" w:fill="auto"/>
            <w:noWrap/>
            <w:vAlign w:val="center"/>
            <w:hideMark/>
          </w:tcPr>
          <w:p w:rsidR="002B2FE7" w:rsidRPr="002B2FE7" w:rsidRDefault="002B2FE7" w:rsidP="002B2FE7">
            <w:pPr>
              <w:spacing w:line="240" w:lineRule="auto"/>
              <w:jc w:val="left"/>
              <w:rPr>
                <w:rFonts w:eastAsia="Times New Roman" w:cs="Arial"/>
                <w:sz w:val="18"/>
                <w:szCs w:val="18"/>
                <w:lang w:eastAsia="fr-FR"/>
              </w:rPr>
            </w:pPr>
            <w:r w:rsidRPr="002B2FE7">
              <w:rPr>
                <w:rFonts w:eastAsia="Times New Roman" w:cs="Arial"/>
                <w:sz w:val="18"/>
                <w:szCs w:val="18"/>
                <w:lang w:eastAsia="fr-FR"/>
              </w:rPr>
              <w:t>0191203 - GESTION PATRIMONIALE DES RESEAUX ASSAINISSEMENT</w:t>
            </w:r>
          </w:p>
        </w:tc>
        <w:tc>
          <w:tcPr>
            <w:tcW w:w="2080" w:type="dxa"/>
            <w:tcBorders>
              <w:top w:val="nil"/>
              <w:left w:val="nil"/>
              <w:bottom w:val="nil"/>
              <w:right w:val="nil"/>
            </w:tcBorders>
            <w:shd w:val="clear" w:color="auto" w:fill="auto"/>
            <w:vAlign w:val="center"/>
            <w:hideMark/>
          </w:tcPr>
          <w:p w:rsidR="002B2FE7" w:rsidRPr="002B2FE7" w:rsidRDefault="002B2FE7" w:rsidP="002B2FE7">
            <w:pPr>
              <w:spacing w:line="240" w:lineRule="auto"/>
              <w:jc w:val="right"/>
              <w:rPr>
                <w:rFonts w:eastAsia="Times New Roman" w:cs="Arial"/>
                <w:sz w:val="18"/>
                <w:szCs w:val="18"/>
                <w:lang w:eastAsia="fr-FR"/>
              </w:rPr>
            </w:pPr>
            <w:r w:rsidRPr="002B2FE7">
              <w:rPr>
                <w:rFonts w:eastAsia="Times New Roman" w:cs="Arial"/>
                <w:sz w:val="18"/>
                <w:szCs w:val="18"/>
                <w:lang w:eastAsia="fr-FR"/>
              </w:rPr>
              <w:t>7 778 052,10 €</w:t>
            </w:r>
          </w:p>
        </w:tc>
        <w:tc>
          <w:tcPr>
            <w:tcW w:w="2080" w:type="dxa"/>
            <w:tcBorders>
              <w:top w:val="nil"/>
              <w:left w:val="nil"/>
              <w:bottom w:val="nil"/>
              <w:right w:val="single" w:sz="8" w:space="0" w:color="auto"/>
            </w:tcBorders>
            <w:shd w:val="clear" w:color="auto" w:fill="auto"/>
            <w:vAlign w:val="center"/>
            <w:hideMark/>
          </w:tcPr>
          <w:p w:rsidR="002B2FE7" w:rsidRPr="002B2FE7" w:rsidRDefault="002B2FE7" w:rsidP="002B2FE7">
            <w:pPr>
              <w:spacing w:line="240" w:lineRule="auto"/>
              <w:jc w:val="right"/>
              <w:rPr>
                <w:rFonts w:eastAsia="Times New Roman" w:cs="Arial"/>
                <w:sz w:val="18"/>
                <w:szCs w:val="18"/>
                <w:lang w:eastAsia="fr-FR"/>
              </w:rPr>
            </w:pPr>
            <w:r w:rsidRPr="002B2FE7">
              <w:rPr>
                <w:rFonts w:eastAsia="Times New Roman" w:cs="Arial"/>
                <w:sz w:val="18"/>
                <w:szCs w:val="18"/>
                <w:lang w:eastAsia="fr-FR"/>
              </w:rPr>
              <w:t>6 665 329,53 €</w:t>
            </w:r>
          </w:p>
        </w:tc>
      </w:tr>
      <w:tr w:rsidR="002B2FE7" w:rsidRPr="002B2FE7" w:rsidTr="002B2FE7">
        <w:trPr>
          <w:trHeight w:val="255"/>
        </w:trPr>
        <w:tc>
          <w:tcPr>
            <w:tcW w:w="5960" w:type="dxa"/>
            <w:tcBorders>
              <w:top w:val="nil"/>
              <w:left w:val="single" w:sz="8" w:space="0" w:color="auto"/>
              <w:bottom w:val="nil"/>
              <w:right w:val="nil"/>
            </w:tcBorders>
            <w:shd w:val="clear" w:color="auto" w:fill="auto"/>
            <w:noWrap/>
            <w:vAlign w:val="center"/>
            <w:hideMark/>
          </w:tcPr>
          <w:p w:rsidR="002B2FE7" w:rsidRPr="002B2FE7" w:rsidRDefault="002B2FE7" w:rsidP="002B2FE7">
            <w:pPr>
              <w:spacing w:line="240" w:lineRule="auto"/>
              <w:jc w:val="left"/>
              <w:rPr>
                <w:rFonts w:eastAsia="Times New Roman" w:cs="Arial"/>
                <w:sz w:val="18"/>
                <w:szCs w:val="18"/>
                <w:lang w:eastAsia="fr-FR"/>
              </w:rPr>
            </w:pPr>
            <w:r w:rsidRPr="002B2FE7">
              <w:rPr>
                <w:rFonts w:eastAsia="Times New Roman" w:cs="Arial"/>
                <w:sz w:val="18"/>
                <w:szCs w:val="18"/>
                <w:lang w:eastAsia="fr-FR"/>
              </w:rPr>
              <w:t>9191203 -  GESTION PATRIMONIALE RESEAUX D'ASSAINISSEMENT</w:t>
            </w:r>
          </w:p>
        </w:tc>
        <w:tc>
          <w:tcPr>
            <w:tcW w:w="2080" w:type="dxa"/>
            <w:tcBorders>
              <w:top w:val="nil"/>
              <w:left w:val="nil"/>
              <w:bottom w:val="nil"/>
              <w:right w:val="nil"/>
            </w:tcBorders>
            <w:shd w:val="clear" w:color="auto" w:fill="auto"/>
            <w:vAlign w:val="center"/>
            <w:hideMark/>
          </w:tcPr>
          <w:p w:rsidR="002B2FE7" w:rsidRPr="002B2FE7" w:rsidRDefault="002B2FE7" w:rsidP="002B2FE7">
            <w:pPr>
              <w:spacing w:line="240" w:lineRule="auto"/>
              <w:jc w:val="right"/>
              <w:rPr>
                <w:rFonts w:eastAsia="Times New Roman" w:cs="Arial"/>
                <w:sz w:val="18"/>
                <w:szCs w:val="18"/>
                <w:lang w:eastAsia="fr-FR"/>
              </w:rPr>
            </w:pPr>
            <w:r w:rsidRPr="002B2FE7">
              <w:rPr>
                <w:rFonts w:eastAsia="Times New Roman" w:cs="Arial"/>
                <w:sz w:val="18"/>
                <w:szCs w:val="18"/>
                <w:lang w:eastAsia="fr-FR"/>
              </w:rPr>
              <w:t>1 506 008,61 €</w:t>
            </w:r>
          </w:p>
        </w:tc>
        <w:tc>
          <w:tcPr>
            <w:tcW w:w="2080" w:type="dxa"/>
            <w:tcBorders>
              <w:top w:val="nil"/>
              <w:left w:val="nil"/>
              <w:bottom w:val="nil"/>
              <w:right w:val="single" w:sz="8" w:space="0" w:color="auto"/>
            </w:tcBorders>
            <w:shd w:val="clear" w:color="auto" w:fill="auto"/>
            <w:vAlign w:val="center"/>
            <w:hideMark/>
          </w:tcPr>
          <w:p w:rsidR="002B2FE7" w:rsidRPr="002B2FE7" w:rsidRDefault="002B2FE7" w:rsidP="002B2FE7">
            <w:pPr>
              <w:spacing w:line="240" w:lineRule="auto"/>
              <w:jc w:val="right"/>
              <w:rPr>
                <w:rFonts w:eastAsia="Times New Roman" w:cs="Arial"/>
                <w:sz w:val="18"/>
                <w:szCs w:val="18"/>
                <w:lang w:eastAsia="fr-FR"/>
              </w:rPr>
            </w:pPr>
            <w:r w:rsidRPr="002B2FE7">
              <w:rPr>
                <w:rFonts w:eastAsia="Times New Roman" w:cs="Arial"/>
                <w:sz w:val="18"/>
                <w:szCs w:val="18"/>
                <w:lang w:eastAsia="fr-FR"/>
              </w:rPr>
              <w:t>6 018 545,89 €</w:t>
            </w:r>
          </w:p>
        </w:tc>
      </w:tr>
      <w:tr w:rsidR="002B2FE7" w:rsidRPr="002B2FE7" w:rsidTr="002B2FE7">
        <w:trPr>
          <w:trHeight w:val="270"/>
        </w:trPr>
        <w:tc>
          <w:tcPr>
            <w:tcW w:w="5960" w:type="dxa"/>
            <w:tcBorders>
              <w:top w:val="nil"/>
              <w:left w:val="single" w:sz="8" w:space="0" w:color="auto"/>
              <w:bottom w:val="single" w:sz="8" w:space="0" w:color="auto"/>
              <w:right w:val="nil"/>
            </w:tcBorders>
            <w:shd w:val="clear" w:color="000000" w:fill="BFBFBF"/>
            <w:noWrap/>
            <w:vAlign w:val="center"/>
            <w:hideMark/>
          </w:tcPr>
          <w:p w:rsidR="002B2FE7" w:rsidRPr="002B2FE7" w:rsidRDefault="002B2FE7" w:rsidP="002B2FE7">
            <w:pPr>
              <w:spacing w:line="240" w:lineRule="auto"/>
              <w:jc w:val="left"/>
              <w:rPr>
                <w:rFonts w:eastAsia="Times New Roman" w:cs="Arial"/>
                <w:b/>
                <w:bCs/>
                <w:sz w:val="18"/>
                <w:szCs w:val="18"/>
                <w:lang w:eastAsia="fr-FR"/>
              </w:rPr>
            </w:pPr>
            <w:r w:rsidRPr="002B2FE7">
              <w:rPr>
                <w:rFonts w:eastAsia="Times New Roman" w:cs="Arial"/>
                <w:b/>
                <w:bCs/>
                <w:sz w:val="18"/>
                <w:szCs w:val="18"/>
                <w:lang w:eastAsia="fr-FR"/>
              </w:rPr>
              <w:t>Total général</w:t>
            </w:r>
          </w:p>
        </w:tc>
        <w:tc>
          <w:tcPr>
            <w:tcW w:w="2080" w:type="dxa"/>
            <w:tcBorders>
              <w:top w:val="nil"/>
              <w:left w:val="nil"/>
              <w:bottom w:val="single" w:sz="8" w:space="0" w:color="auto"/>
              <w:right w:val="nil"/>
            </w:tcBorders>
            <w:shd w:val="clear" w:color="000000" w:fill="BFBFBF"/>
            <w:vAlign w:val="center"/>
            <w:hideMark/>
          </w:tcPr>
          <w:p w:rsidR="002B2FE7" w:rsidRPr="002B2FE7" w:rsidRDefault="002B2FE7" w:rsidP="002B2FE7">
            <w:pPr>
              <w:spacing w:line="240" w:lineRule="auto"/>
              <w:jc w:val="right"/>
              <w:rPr>
                <w:rFonts w:eastAsia="Times New Roman" w:cs="Arial"/>
                <w:b/>
                <w:bCs/>
                <w:sz w:val="18"/>
                <w:szCs w:val="18"/>
                <w:lang w:eastAsia="fr-FR"/>
              </w:rPr>
            </w:pPr>
            <w:r w:rsidRPr="002B2FE7">
              <w:rPr>
                <w:rFonts w:eastAsia="Times New Roman" w:cs="Arial"/>
                <w:b/>
                <w:bCs/>
                <w:sz w:val="18"/>
                <w:szCs w:val="18"/>
                <w:lang w:eastAsia="fr-FR"/>
              </w:rPr>
              <w:t>9 364 879,91 €</w:t>
            </w:r>
          </w:p>
        </w:tc>
        <w:tc>
          <w:tcPr>
            <w:tcW w:w="2080" w:type="dxa"/>
            <w:tcBorders>
              <w:top w:val="nil"/>
              <w:left w:val="nil"/>
              <w:bottom w:val="single" w:sz="8" w:space="0" w:color="auto"/>
              <w:right w:val="single" w:sz="8" w:space="0" w:color="auto"/>
            </w:tcBorders>
            <w:shd w:val="clear" w:color="000000" w:fill="BFBFBF"/>
            <w:vAlign w:val="center"/>
            <w:hideMark/>
          </w:tcPr>
          <w:p w:rsidR="002B2FE7" w:rsidRPr="002B2FE7" w:rsidRDefault="002B2FE7" w:rsidP="002B2FE7">
            <w:pPr>
              <w:spacing w:line="240" w:lineRule="auto"/>
              <w:jc w:val="right"/>
              <w:rPr>
                <w:rFonts w:eastAsia="Times New Roman" w:cs="Arial"/>
                <w:b/>
                <w:bCs/>
                <w:sz w:val="18"/>
                <w:szCs w:val="18"/>
                <w:lang w:eastAsia="fr-FR"/>
              </w:rPr>
            </w:pPr>
            <w:r w:rsidRPr="002B2FE7">
              <w:rPr>
                <w:rFonts w:eastAsia="Times New Roman" w:cs="Arial"/>
                <w:b/>
                <w:bCs/>
                <w:sz w:val="18"/>
                <w:szCs w:val="18"/>
                <w:lang w:eastAsia="fr-FR"/>
              </w:rPr>
              <w:t>12 700 541,98 €</w:t>
            </w:r>
          </w:p>
        </w:tc>
      </w:tr>
    </w:tbl>
    <w:p w:rsidR="005D494A" w:rsidRPr="009E3423" w:rsidRDefault="005D494A" w:rsidP="002D73E5">
      <w:pPr>
        <w:rPr>
          <w:highlight w:val="cyan"/>
        </w:rPr>
      </w:pPr>
    </w:p>
    <w:p w:rsidR="005926C9" w:rsidRPr="002D73E5" w:rsidRDefault="005926C9" w:rsidP="002D73E5">
      <w:pPr>
        <w:pStyle w:val="Listecouleur-Accent11"/>
        <w:numPr>
          <w:ilvl w:val="0"/>
          <w:numId w:val="0"/>
        </w:numPr>
        <w:spacing w:after="0"/>
        <w:rPr>
          <w:b w:val="0"/>
        </w:rPr>
      </w:pPr>
      <w:r w:rsidRPr="002D73E5">
        <w:rPr>
          <w:b w:val="0"/>
        </w:rPr>
        <w:lastRenderedPageBreak/>
        <w:t>Le programme d’investissement sur les différents réseaux d’eaux pluviales et d’assainissement a mobilisé d’importants crédits au cours de l’année 201</w:t>
      </w:r>
      <w:r w:rsidR="002B2FE7">
        <w:rPr>
          <w:b w:val="0"/>
        </w:rPr>
        <w:t>7</w:t>
      </w:r>
      <w:r w:rsidR="002D73E5" w:rsidRPr="002D73E5">
        <w:rPr>
          <w:b w:val="0"/>
        </w:rPr>
        <w:t xml:space="preserve"> </w:t>
      </w:r>
      <w:r w:rsidR="0031504A">
        <w:rPr>
          <w:b w:val="0"/>
        </w:rPr>
        <w:t xml:space="preserve">puisque les dépenses s’élèvent à </w:t>
      </w:r>
      <w:r w:rsidR="002B2FE7">
        <w:rPr>
          <w:b w:val="0"/>
        </w:rPr>
        <w:t xml:space="preserve">12,7 M€ contre </w:t>
      </w:r>
      <w:r w:rsidR="0031504A">
        <w:rPr>
          <w:b w:val="0"/>
        </w:rPr>
        <w:t xml:space="preserve">9,4 M€ </w:t>
      </w:r>
      <w:r w:rsidR="002B2FE7">
        <w:rPr>
          <w:b w:val="0"/>
        </w:rPr>
        <w:t>en 2016</w:t>
      </w:r>
      <w:r w:rsidR="0031504A">
        <w:rPr>
          <w:b w:val="0"/>
        </w:rPr>
        <w:t xml:space="preserve"> </w:t>
      </w:r>
      <w:r w:rsidR="002D73E5" w:rsidRPr="002D73E5">
        <w:rPr>
          <w:b w:val="0"/>
        </w:rPr>
        <w:t>(</w:t>
      </w:r>
      <w:r w:rsidR="0031504A">
        <w:rPr>
          <w:b w:val="0"/>
        </w:rPr>
        <w:t xml:space="preserve">soit une </w:t>
      </w:r>
      <w:r w:rsidR="002D73E5" w:rsidRPr="002D73E5">
        <w:rPr>
          <w:b w:val="0"/>
        </w:rPr>
        <w:t xml:space="preserve">hausse de </w:t>
      </w:r>
      <w:r w:rsidR="002B2FE7">
        <w:rPr>
          <w:b w:val="0"/>
        </w:rPr>
        <w:t>plus de 35,6% par rapport à 2016</w:t>
      </w:r>
      <w:r w:rsidR="002D73E5">
        <w:rPr>
          <w:b w:val="0"/>
        </w:rPr>
        <w:t>).</w:t>
      </w:r>
      <w:r w:rsidR="002B2FE7">
        <w:rPr>
          <w:b w:val="0"/>
        </w:rPr>
        <w:t xml:space="preserve"> Parmi ces crédits, 6,0</w:t>
      </w:r>
      <w:r w:rsidR="0031504A">
        <w:rPr>
          <w:b w:val="0"/>
        </w:rPr>
        <w:t xml:space="preserve"> M€ sont gérés en autorisation de programme.</w:t>
      </w:r>
    </w:p>
    <w:p w:rsidR="00FF0245" w:rsidRPr="009E3423" w:rsidRDefault="00FF0245" w:rsidP="002D73E5">
      <w:pPr>
        <w:jc w:val="center"/>
        <w:rPr>
          <w:rFonts w:ascii="Arial Narrow" w:hAnsi="Arial Narrow"/>
          <w:highlight w:val="cyan"/>
        </w:rPr>
      </w:pPr>
    </w:p>
    <w:p w:rsidR="005D494A" w:rsidRPr="002D73E5" w:rsidRDefault="005D494A" w:rsidP="00B01171">
      <w:pPr>
        <w:pStyle w:val="Titre4"/>
      </w:pPr>
      <w:r w:rsidRPr="002D73E5">
        <w:t>Le remboursement du capital de la dette</w:t>
      </w:r>
    </w:p>
    <w:p w:rsidR="00251AAD" w:rsidRPr="009E3423" w:rsidRDefault="00251AAD" w:rsidP="002D73E5">
      <w:pPr>
        <w:jc w:val="left"/>
        <w:rPr>
          <w:highlight w:val="cyan"/>
        </w:rPr>
      </w:pPr>
    </w:p>
    <w:tbl>
      <w:tblPr>
        <w:tblW w:w="4911" w:type="pct"/>
        <w:tblCellMar>
          <w:left w:w="70" w:type="dxa"/>
          <w:right w:w="70" w:type="dxa"/>
        </w:tblCellMar>
        <w:tblLook w:val="04A0" w:firstRow="1" w:lastRow="0" w:firstColumn="1" w:lastColumn="0" w:noHBand="0" w:noVBand="1"/>
      </w:tblPr>
      <w:tblGrid>
        <w:gridCol w:w="5986"/>
        <w:gridCol w:w="1809"/>
        <w:gridCol w:w="1809"/>
      </w:tblGrid>
      <w:tr w:rsidR="008423E6" w:rsidRPr="001D29E2" w:rsidTr="008423E6">
        <w:trPr>
          <w:trHeight w:val="255"/>
        </w:trPr>
        <w:tc>
          <w:tcPr>
            <w:tcW w:w="3115" w:type="pct"/>
            <w:tcBorders>
              <w:top w:val="single" w:sz="4" w:space="0" w:color="auto"/>
              <w:left w:val="single" w:sz="4" w:space="0" w:color="auto"/>
              <w:bottom w:val="nil"/>
              <w:right w:val="nil"/>
            </w:tcBorders>
            <w:shd w:val="clear" w:color="FFFFFF" w:fill="CE013C"/>
            <w:noWrap/>
            <w:vAlign w:val="bottom"/>
            <w:hideMark/>
          </w:tcPr>
          <w:p w:rsidR="008423E6" w:rsidRPr="001D29E2" w:rsidRDefault="008423E6" w:rsidP="002D73E5">
            <w:pPr>
              <w:spacing w:line="240" w:lineRule="auto"/>
              <w:jc w:val="left"/>
              <w:rPr>
                <w:rFonts w:eastAsia="Times New Roman" w:cs="Arial"/>
                <w:b/>
                <w:bCs/>
                <w:color w:val="FFFFFF"/>
                <w:sz w:val="18"/>
                <w:szCs w:val="20"/>
                <w:lang w:eastAsia="fr-FR"/>
              </w:rPr>
            </w:pPr>
            <w:r w:rsidRPr="001D29E2">
              <w:rPr>
                <w:rFonts w:eastAsia="Times New Roman" w:cs="Arial"/>
                <w:b/>
                <w:bCs/>
                <w:color w:val="FFFFFF"/>
                <w:sz w:val="18"/>
                <w:szCs w:val="20"/>
                <w:lang w:eastAsia="fr-FR"/>
              </w:rPr>
              <w:t>Programme</w:t>
            </w:r>
          </w:p>
        </w:tc>
        <w:tc>
          <w:tcPr>
            <w:tcW w:w="942" w:type="pct"/>
            <w:tcBorders>
              <w:top w:val="single" w:sz="4" w:space="0" w:color="auto"/>
              <w:left w:val="nil"/>
              <w:bottom w:val="nil"/>
              <w:right w:val="nil"/>
            </w:tcBorders>
            <w:shd w:val="clear" w:color="FFFFFF" w:fill="CE013C"/>
            <w:vAlign w:val="bottom"/>
          </w:tcPr>
          <w:p w:rsidR="008423E6" w:rsidRPr="001D29E2" w:rsidRDefault="008423E6" w:rsidP="00262C5C">
            <w:pPr>
              <w:spacing w:line="240" w:lineRule="auto"/>
              <w:jc w:val="center"/>
              <w:rPr>
                <w:rFonts w:eastAsia="Times New Roman" w:cs="Arial"/>
                <w:b/>
                <w:bCs/>
                <w:color w:val="FFFFFF"/>
                <w:sz w:val="18"/>
                <w:szCs w:val="20"/>
                <w:lang w:eastAsia="fr-FR"/>
              </w:rPr>
            </w:pPr>
            <w:r w:rsidRPr="001D29E2">
              <w:rPr>
                <w:rFonts w:eastAsia="Times New Roman" w:cs="Arial"/>
                <w:b/>
                <w:bCs/>
                <w:color w:val="FFFFFF"/>
                <w:sz w:val="18"/>
                <w:szCs w:val="20"/>
                <w:lang w:eastAsia="fr-FR"/>
              </w:rPr>
              <w:t>CA 2016</w:t>
            </w:r>
          </w:p>
        </w:tc>
        <w:tc>
          <w:tcPr>
            <w:tcW w:w="942" w:type="pct"/>
            <w:tcBorders>
              <w:top w:val="single" w:sz="4" w:space="0" w:color="auto"/>
              <w:left w:val="nil"/>
              <w:bottom w:val="nil"/>
              <w:right w:val="single" w:sz="4" w:space="0" w:color="auto"/>
            </w:tcBorders>
            <w:shd w:val="clear" w:color="FFFFFF" w:fill="CE013C"/>
            <w:noWrap/>
            <w:vAlign w:val="bottom"/>
            <w:hideMark/>
          </w:tcPr>
          <w:p w:rsidR="008423E6" w:rsidRPr="001D29E2" w:rsidRDefault="00262C5C" w:rsidP="00262C5C">
            <w:pPr>
              <w:spacing w:line="240" w:lineRule="auto"/>
              <w:jc w:val="center"/>
              <w:rPr>
                <w:rFonts w:eastAsia="Times New Roman" w:cs="Arial"/>
                <w:b/>
                <w:bCs/>
                <w:color w:val="FFFFFF"/>
                <w:sz w:val="18"/>
                <w:szCs w:val="20"/>
                <w:lang w:eastAsia="fr-FR"/>
              </w:rPr>
            </w:pPr>
            <w:r>
              <w:rPr>
                <w:rFonts w:eastAsia="Times New Roman" w:cs="Arial"/>
                <w:b/>
                <w:bCs/>
                <w:color w:val="FFFFFF"/>
                <w:sz w:val="18"/>
                <w:szCs w:val="20"/>
                <w:lang w:eastAsia="fr-FR"/>
              </w:rPr>
              <w:t>CA 2017</w:t>
            </w:r>
          </w:p>
        </w:tc>
      </w:tr>
      <w:tr w:rsidR="008423E6" w:rsidRPr="001D29E2" w:rsidTr="008423E6">
        <w:trPr>
          <w:trHeight w:val="255"/>
        </w:trPr>
        <w:tc>
          <w:tcPr>
            <w:tcW w:w="3115" w:type="pct"/>
            <w:tcBorders>
              <w:top w:val="nil"/>
              <w:left w:val="single" w:sz="4" w:space="0" w:color="auto"/>
              <w:bottom w:val="single" w:sz="4" w:space="0" w:color="auto"/>
              <w:right w:val="nil"/>
            </w:tcBorders>
            <w:shd w:val="clear" w:color="FFFFFF" w:fill="auto"/>
            <w:noWrap/>
            <w:vAlign w:val="bottom"/>
            <w:hideMark/>
          </w:tcPr>
          <w:p w:rsidR="008423E6" w:rsidRPr="001D29E2" w:rsidRDefault="008423E6" w:rsidP="002D73E5">
            <w:pPr>
              <w:spacing w:line="240" w:lineRule="auto"/>
              <w:jc w:val="left"/>
              <w:rPr>
                <w:rFonts w:eastAsia="Times New Roman" w:cs="Arial"/>
                <w:sz w:val="18"/>
                <w:szCs w:val="20"/>
                <w:lang w:eastAsia="fr-FR"/>
              </w:rPr>
            </w:pPr>
            <w:r w:rsidRPr="001D29E2">
              <w:rPr>
                <w:rFonts w:eastAsia="Times New Roman" w:cs="Arial"/>
                <w:sz w:val="18"/>
                <w:szCs w:val="20"/>
                <w:lang w:eastAsia="fr-FR"/>
              </w:rPr>
              <w:t>0191211 - GESTION ACTIVE DE LA DETTE</w:t>
            </w:r>
          </w:p>
        </w:tc>
        <w:tc>
          <w:tcPr>
            <w:tcW w:w="942" w:type="pct"/>
            <w:tcBorders>
              <w:top w:val="nil"/>
              <w:left w:val="nil"/>
              <w:bottom w:val="single" w:sz="4" w:space="0" w:color="auto"/>
              <w:right w:val="nil"/>
            </w:tcBorders>
            <w:shd w:val="clear" w:color="FFFFFF" w:fill="auto"/>
            <w:vAlign w:val="bottom"/>
          </w:tcPr>
          <w:p w:rsidR="008423E6" w:rsidRPr="001D29E2" w:rsidRDefault="008423E6" w:rsidP="008423E6">
            <w:pPr>
              <w:spacing w:line="240" w:lineRule="auto"/>
              <w:jc w:val="left"/>
              <w:rPr>
                <w:rFonts w:eastAsia="Times New Roman" w:cs="Arial"/>
                <w:sz w:val="18"/>
                <w:szCs w:val="20"/>
                <w:lang w:eastAsia="fr-FR"/>
              </w:rPr>
            </w:pPr>
            <w:r w:rsidRPr="001D29E2">
              <w:rPr>
                <w:rFonts w:eastAsia="Times New Roman" w:cs="Arial"/>
                <w:sz w:val="18"/>
                <w:szCs w:val="20"/>
                <w:lang w:eastAsia="fr-FR"/>
              </w:rPr>
              <w:t xml:space="preserve">    946 488,50 € </w:t>
            </w:r>
          </w:p>
        </w:tc>
        <w:tc>
          <w:tcPr>
            <w:tcW w:w="942" w:type="pct"/>
            <w:tcBorders>
              <w:top w:val="nil"/>
              <w:left w:val="nil"/>
              <w:bottom w:val="single" w:sz="4" w:space="0" w:color="auto"/>
              <w:right w:val="single" w:sz="4" w:space="0" w:color="auto"/>
            </w:tcBorders>
            <w:shd w:val="clear" w:color="FFFFFF" w:fill="auto"/>
            <w:noWrap/>
            <w:vAlign w:val="bottom"/>
            <w:hideMark/>
          </w:tcPr>
          <w:p w:rsidR="008423E6" w:rsidRPr="001D29E2" w:rsidRDefault="002B2FE7" w:rsidP="002B2FE7">
            <w:pPr>
              <w:spacing w:line="240" w:lineRule="auto"/>
              <w:jc w:val="right"/>
              <w:rPr>
                <w:rFonts w:eastAsia="Times New Roman" w:cs="Arial"/>
                <w:sz w:val="18"/>
                <w:szCs w:val="20"/>
                <w:lang w:eastAsia="fr-FR"/>
              </w:rPr>
            </w:pPr>
            <w:r>
              <w:rPr>
                <w:rFonts w:eastAsia="Times New Roman" w:cs="Arial"/>
                <w:sz w:val="18"/>
                <w:szCs w:val="20"/>
                <w:lang w:eastAsia="fr-FR"/>
              </w:rPr>
              <w:t>1 283 425,59 €</w:t>
            </w:r>
          </w:p>
        </w:tc>
      </w:tr>
    </w:tbl>
    <w:p w:rsidR="00251AAD" w:rsidRPr="0024555F" w:rsidRDefault="00251AAD" w:rsidP="0024555F"/>
    <w:p w:rsidR="0024555F" w:rsidRPr="0024555F" w:rsidRDefault="0024555F" w:rsidP="0024555F">
      <w:r w:rsidRPr="0024555F">
        <w:t>La progression des dépenses d’investissement engendre une montée en puissance de l’emprunt et donc des remboursements en capital réalisés sur chaque exercice. En 2017, le remboursement de la dette s’</w:t>
      </w:r>
      <w:r w:rsidR="009C57CC">
        <w:t>est élevé à 1,3 </w:t>
      </w:r>
      <w:r w:rsidRPr="0024555F">
        <w:t>M€.</w:t>
      </w:r>
    </w:p>
    <w:p w:rsidR="00BA39CE" w:rsidRDefault="00BA39CE">
      <w:pPr>
        <w:jc w:val="left"/>
      </w:pPr>
      <w:r>
        <w:br w:type="page"/>
      </w:r>
    </w:p>
    <w:p w:rsidR="00BA39CE" w:rsidRPr="004D406F" w:rsidRDefault="00BA39CE" w:rsidP="00BA39CE">
      <w:pPr>
        <w:pStyle w:val="Titre1"/>
        <w:rPr>
          <w:rFonts w:cs="Tahoma"/>
        </w:rPr>
      </w:pPr>
      <w:bookmarkStart w:id="94" w:name="_Toc509490448"/>
      <w:r w:rsidRPr="004D406F">
        <w:rPr>
          <w:rFonts w:cs="Tahoma"/>
        </w:rPr>
        <w:lastRenderedPageBreak/>
        <w:t>I</w:t>
      </w:r>
      <w:r>
        <w:rPr>
          <w:rFonts w:cs="Tahoma"/>
        </w:rPr>
        <w:t>V</w:t>
      </w:r>
      <w:r w:rsidRPr="004D406F">
        <w:rPr>
          <w:rFonts w:cs="Tahoma"/>
        </w:rPr>
        <w:t>.</w:t>
      </w:r>
      <w:r w:rsidRPr="004D406F">
        <w:rPr>
          <w:rFonts w:cs="Tahoma"/>
        </w:rPr>
        <w:tab/>
      </w:r>
      <w:r>
        <w:rPr>
          <w:rFonts w:cs="Tahoma"/>
        </w:rPr>
        <w:t>LE BUDGET ANNEXE DES PROJETS D’AMÉNAGEMENT</w:t>
      </w:r>
      <w:bookmarkEnd w:id="94"/>
    </w:p>
    <w:p w:rsidR="00BA39CE" w:rsidRDefault="00BA39CE" w:rsidP="00DF2097">
      <w:pPr>
        <w:jc w:val="left"/>
      </w:pPr>
    </w:p>
    <w:p w:rsidR="00BA39CE" w:rsidRPr="00DF2097" w:rsidRDefault="00BA39CE" w:rsidP="009E6A42">
      <w:pPr>
        <w:pStyle w:val="Titre2"/>
        <w:numPr>
          <w:ilvl w:val="0"/>
          <w:numId w:val="28"/>
        </w:numPr>
      </w:pPr>
      <w:bookmarkStart w:id="95" w:name="_Toc446084204"/>
      <w:bookmarkStart w:id="96" w:name="_Toc446084398"/>
      <w:bookmarkStart w:id="97" w:name="_Toc446084449"/>
      <w:bookmarkStart w:id="98" w:name="_Toc446403462"/>
      <w:bookmarkStart w:id="99" w:name="_Toc447272263"/>
      <w:bookmarkStart w:id="100" w:name="_Toc509490449"/>
      <w:bookmarkEnd w:id="95"/>
      <w:bookmarkEnd w:id="96"/>
      <w:bookmarkEnd w:id="97"/>
      <w:bookmarkEnd w:id="98"/>
      <w:bookmarkEnd w:id="99"/>
      <w:r w:rsidRPr="00DF2097">
        <w:t>Le fonctionnement</w:t>
      </w:r>
      <w:bookmarkEnd w:id="100"/>
    </w:p>
    <w:p w:rsidR="00DF2097" w:rsidRPr="00DF2097" w:rsidRDefault="00DF2097" w:rsidP="00DF2097">
      <w:pPr>
        <w:pStyle w:val="Paragraphedeliste"/>
        <w:ind w:left="0"/>
        <w:rPr>
          <w:rFonts w:cs="Tahoma"/>
          <w:szCs w:val="20"/>
        </w:rPr>
      </w:pPr>
    </w:p>
    <w:p w:rsidR="00DF2097" w:rsidRDefault="00DF2097" w:rsidP="00DF2097">
      <w:pPr>
        <w:pStyle w:val="Paragraphedeliste"/>
        <w:ind w:left="0"/>
        <w:rPr>
          <w:rFonts w:cs="Tahoma"/>
          <w:szCs w:val="20"/>
        </w:rPr>
      </w:pPr>
      <w:r w:rsidRPr="00DF2097">
        <w:rPr>
          <w:rFonts w:cs="Tahoma"/>
          <w:szCs w:val="20"/>
        </w:rPr>
        <w:t>En recettes, comme en dépenses, la section de fonctionnement de ce budget annexe portait pour l’essentiel les écritures liées à l’avancement du projet de la ZAC du Centre-ville des Lilas. Hors ce projet, la principale recette de fonctionnement de ce budget correspond à la participation à son équilibre du budget principal.</w:t>
      </w:r>
    </w:p>
    <w:p w:rsidR="00A33894" w:rsidRPr="00DF2097" w:rsidRDefault="00A33894" w:rsidP="00DF2097">
      <w:pPr>
        <w:pStyle w:val="Paragraphedeliste"/>
        <w:ind w:left="0"/>
        <w:rPr>
          <w:rFonts w:cs="Tahoma"/>
          <w:szCs w:val="20"/>
        </w:rPr>
      </w:pPr>
    </w:p>
    <w:p w:rsidR="00BA39CE" w:rsidRPr="004D406F" w:rsidRDefault="00BA39CE" w:rsidP="009E6A42">
      <w:pPr>
        <w:pStyle w:val="Titre3"/>
        <w:numPr>
          <w:ilvl w:val="0"/>
          <w:numId w:val="8"/>
        </w:numPr>
        <w:spacing w:before="0"/>
        <w:jc w:val="left"/>
      </w:pPr>
      <w:bookmarkStart w:id="101" w:name="_Toc509490450"/>
      <w:r>
        <w:t>Les recettes de fonctionnement</w:t>
      </w:r>
      <w:bookmarkEnd w:id="101"/>
      <w:r w:rsidR="0012293F">
        <w:rPr>
          <w:u w:val="none"/>
        </w:rPr>
        <w:t xml:space="preserve"> </w:t>
      </w:r>
    </w:p>
    <w:p w:rsidR="00BA39CE" w:rsidRDefault="00BA39CE" w:rsidP="00DF2097">
      <w:pPr>
        <w:jc w:val="center"/>
      </w:pPr>
    </w:p>
    <w:p w:rsidR="00BA39CE" w:rsidRDefault="00BA39CE" w:rsidP="00B01171">
      <w:pPr>
        <w:pStyle w:val="Titre4"/>
        <w:numPr>
          <w:ilvl w:val="0"/>
          <w:numId w:val="9"/>
        </w:numPr>
      </w:pPr>
      <w:r>
        <w:t>La participation du budget principal</w:t>
      </w:r>
    </w:p>
    <w:p w:rsidR="000567F0" w:rsidRPr="00711053" w:rsidRDefault="000567F0" w:rsidP="00DF2097"/>
    <w:tbl>
      <w:tblPr>
        <w:tblW w:w="9705" w:type="dxa"/>
        <w:tblInd w:w="55" w:type="dxa"/>
        <w:tblCellMar>
          <w:left w:w="70" w:type="dxa"/>
          <w:right w:w="70" w:type="dxa"/>
        </w:tblCellMar>
        <w:tblLook w:val="04A0" w:firstRow="1" w:lastRow="0" w:firstColumn="1" w:lastColumn="0" w:noHBand="0" w:noVBand="1"/>
      </w:tblPr>
      <w:tblGrid>
        <w:gridCol w:w="5669"/>
        <w:gridCol w:w="2018"/>
        <w:gridCol w:w="2018"/>
      </w:tblGrid>
      <w:tr w:rsidR="00A33894" w:rsidRPr="00A33894" w:rsidTr="008F4D6B">
        <w:trPr>
          <w:trHeight w:val="251"/>
        </w:trPr>
        <w:tc>
          <w:tcPr>
            <w:tcW w:w="5669" w:type="dxa"/>
            <w:tcBorders>
              <w:top w:val="single" w:sz="8" w:space="0" w:color="auto"/>
              <w:left w:val="single" w:sz="8" w:space="0" w:color="auto"/>
              <w:bottom w:val="nil"/>
              <w:right w:val="nil"/>
            </w:tcBorders>
            <w:shd w:val="clear" w:color="000000" w:fill="1F497D"/>
            <w:noWrap/>
            <w:vAlign w:val="center"/>
            <w:hideMark/>
          </w:tcPr>
          <w:p w:rsidR="00A33894" w:rsidRPr="00A33894" w:rsidRDefault="00A33894" w:rsidP="00A33894">
            <w:pPr>
              <w:spacing w:line="240" w:lineRule="auto"/>
              <w:jc w:val="left"/>
              <w:rPr>
                <w:rFonts w:eastAsia="Times New Roman" w:cs="Arial"/>
                <w:b/>
                <w:bCs/>
                <w:color w:val="FFFFFF"/>
                <w:sz w:val="18"/>
                <w:szCs w:val="18"/>
                <w:lang w:eastAsia="fr-FR"/>
              </w:rPr>
            </w:pPr>
            <w:r w:rsidRPr="00A33894">
              <w:rPr>
                <w:rFonts w:eastAsia="Times New Roman" w:cs="Arial"/>
                <w:b/>
                <w:bCs/>
                <w:color w:val="FFFFFF"/>
                <w:sz w:val="18"/>
                <w:szCs w:val="18"/>
                <w:lang w:eastAsia="fr-FR"/>
              </w:rPr>
              <w:t>PROGRAMME</w:t>
            </w:r>
          </w:p>
        </w:tc>
        <w:tc>
          <w:tcPr>
            <w:tcW w:w="2018" w:type="dxa"/>
            <w:tcBorders>
              <w:top w:val="single" w:sz="8" w:space="0" w:color="auto"/>
              <w:left w:val="nil"/>
              <w:bottom w:val="nil"/>
              <w:right w:val="nil"/>
            </w:tcBorders>
            <w:shd w:val="clear" w:color="000000" w:fill="1F497D"/>
            <w:vAlign w:val="center"/>
            <w:hideMark/>
          </w:tcPr>
          <w:p w:rsidR="00A33894" w:rsidRPr="00A33894" w:rsidRDefault="00A33894" w:rsidP="00A33894">
            <w:pPr>
              <w:spacing w:line="240" w:lineRule="auto"/>
              <w:jc w:val="center"/>
              <w:rPr>
                <w:rFonts w:eastAsia="Times New Roman" w:cs="Arial"/>
                <w:b/>
                <w:bCs/>
                <w:color w:val="FFFFFF"/>
                <w:sz w:val="18"/>
                <w:szCs w:val="18"/>
                <w:lang w:eastAsia="fr-FR"/>
              </w:rPr>
            </w:pPr>
            <w:r w:rsidRPr="00A33894">
              <w:rPr>
                <w:rFonts w:eastAsia="Times New Roman" w:cs="Arial"/>
                <w:b/>
                <w:bCs/>
                <w:color w:val="FFFFFF"/>
                <w:sz w:val="18"/>
                <w:szCs w:val="18"/>
                <w:lang w:eastAsia="fr-FR"/>
              </w:rPr>
              <w:t>CA 2016</w:t>
            </w:r>
          </w:p>
        </w:tc>
        <w:tc>
          <w:tcPr>
            <w:tcW w:w="2018" w:type="dxa"/>
            <w:tcBorders>
              <w:top w:val="single" w:sz="8" w:space="0" w:color="auto"/>
              <w:left w:val="nil"/>
              <w:bottom w:val="nil"/>
              <w:right w:val="single" w:sz="8" w:space="0" w:color="auto"/>
            </w:tcBorders>
            <w:shd w:val="clear" w:color="000000" w:fill="1F497D"/>
            <w:noWrap/>
            <w:vAlign w:val="center"/>
            <w:hideMark/>
          </w:tcPr>
          <w:p w:rsidR="00A33894" w:rsidRPr="00A33894" w:rsidRDefault="00A33894" w:rsidP="00A33894">
            <w:pPr>
              <w:spacing w:line="240" w:lineRule="auto"/>
              <w:jc w:val="center"/>
              <w:rPr>
                <w:rFonts w:eastAsia="Times New Roman" w:cs="Arial"/>
                <w:b/>
                <w:bCs/>
                <w:color w:val="FFFFFF"/>
                <w:sz w:val="18"/>
                <w:szCs w:val="18"/>
                <w:lang w:eastAsia="fr-FR"/>
              </w:rPr>
            </w:pPr>
            <w:r w:rsidRPr="00A33894">
              <w:rPr>
                <w:rFonts w:eastAsia="Times New Roman" w:cs="Arial"/>
                <w:b/>
                <w:bCs/>
                <w:color w:val="FFFFFF"/>
                <w:sz w:val="18"/>
                <w:szCs w:val="18"/>
                <w:lang w:eastAsia="fr-FR"/>
              </w:rPr>
              <w:t>CA 2017</w:t>
            </w:r>
          </w:p>
        </w:tc>
      </w:tr>
      <w:tr w:rsidR="00A33894" w:rsidRPr="00A33894" w:rsidTr="008F4D6B">
        <w:trPr>
          <w:trHeight w:val="265"/>
        </w:trPr>
        <w:tc>
          <w:tcPr>
            <w:tcW w:w="5669" w:type="dxa"/>
            <w:tcBorders>
              <w:top w:val="nil"/>
              <w:left w:val="single" w:sz="8" w:space="0" w:color="auto"/>
              <w:bottom w:val="single" w:sz="8" w:space="0" w:color="auto"/>
              <w:right w:val="nil"/>
            </w:tcBorders>
            <w:shd w:val="clear" w:color="auto" w:fill="auto"/>
            <w:noWrap/>
            <w:vAlign w:val="center"/>
            <w:hideMark/>
          </w:tcPr>
          <w:p w:rsidR="00A33894" w:rsidRPr="00A33894" w:rsidRDefault="00A33894" w:rsidP="00A33894">
            <w:pPr>
              <w:spacing w:line="240" w:lineRule="auto"/>
              <w:jc w:val="left"/>
              <w:rPr>
                <w:rFonts w:eastAsia="Times New Roman" w:cs="Arial"/>
                <w:sz w:val="18"/>
                <w:szCs w:val="18"/>
                <w:lang w:eastAsia="fr-FR"/>
              </w:rPr>
            </w:pPr>
            <w:r w:rsidRPr="00A33894">
              <w:rPr>
                <w:rFonts w:eastAsia="Times New Roman" w:cs="Arial"/>
                <w:sz w:val="18"/>
                <w:szCs w:val="18"/>
                <w:lang w:eastAsia="fr-FR"/>
              </w:rPr>
              <w:t>0211201 - PARTICIPATION DU BUD PRINCIPAL AU BAPA</w:t>
            </w:r>
          </w:p>
        </w:tc>
        <w:tc>
          <w:tcPr>
            <w:tcW w:w="2018" w:type="dxa"/>
            <w:tcBorders>
              <w:top w:val="nil"/>
              <w:left w:val="nil"/>
              <w:bottom w:val="single" w:sz="8" w:space="0" w:color="auto"/>
              <w:right w:val="nil"/>
            </w:tcBorders>
            <w:shd w:val="clear" w:color="auto" w:fill="auto"/>
            <w:vAlign w:val="center"/>
            <w:hideMark/>
          </w:tcPr>
          <w:p w:rsidR="00A33894" w:rsidRPr="00A33894" w:rsidRDefault="00A33894" w:rsidP="00A33894">
            <w:pPr>
              <w:spacing w:line="240" w:lineRule="auto"/>
              <w:jc w:val="right"/>
              <w:rPr>
                <w:rFonts w:eastAsia="Times New Roman" w:cs="Arial"/>
                <w:sz w:val="18"/>
                <w:szCs w:val="18"/>
                <w:lang w:eastAsia="fr-FR"/>
              </w:rPr>
            </w:pPr>
            <w:r w:rsidRPr="00A33894">
              <w:rPr>
                <w:rFonts w:eastAsia="Times New Roman" w:cs="Arial"/>
                <w:sz w:val="18"/>
                <w:szCs w:val="18"/>
                <w:lang w:eastAsia="fr-FR"/>
              </w:rPr>
              <w:t>1 297 029,22 €</w:t>
            </w:r>
          </w:p>
        </w:tc>
        <w:tc>
          <w:tcPr>
            <w:tcW w:w="2018" w:type="dxa"/>
            <w:tcBorders>
              <w:top w:val="nil"/>
              <w:left w:val="nil"/>
              <w:bottom w:val="single" w:sz="8" w:space="0" w:color="auto"/>
              <w:right w:val="single" w:sz="8" w:space="0" w:color="auto"/>
            </w:tcBorders>
            <w:shd w:val="clear" w:color="auto" w:fill="auto"/>
            <w:vAlign w:val="center"/>
            <w:hideMark/>
          </w:tcPr>
          <w:p w:rsidR="00A33894" w:rsidRPr="00A33894" w:rsidRDefault="00A33894" w:rsidP="00A33894">
            <w:pPr>
              <w:spacing w:line="240" w:lineRule="auto"/>
              <w:jc w:val="right"/>
              <w:rPr>
                <w:rFonts w:eastAsia="Times New Roman" w:cs="Arial"/>
                <w:sz w:val="18"/>
                <w:szCs w:val="18"/>
                <w:lang w:eastAsia="fr-FR"/>
              </w:rPr>
            </w:pPr>
            <w:r w:rsidRPr="00A33894">
              <w:rPr>
                <w:rFonts w:eastAsia="Times New Roman" w:cs="Arial"/>
                <w:sz w:val="18"/>
                <w:szCs w:val="18"/>
                <w:lang w:eastAsia="fr-FR"/>
              </w:rPr>
              <w:t>1 920 013,79 €</w:t>
            </w:r>
          </w:p>
        </w:tc>
      </w:tr>
    </w:tbl>
    <w:p w:rsidR="008F4D6B" w:rsidRDefault="008F4D6B" w:rsidP="00DF2097"/>
    <w:p w:rsidR="002D7EFE" w:rsidRDefault="002D7EFE" w:rsidP="00DF2097">
      <w:r w:rsidRPr="00DF2097">
        <w:t xml:space="preserve">La participation du budget principal au budget projets d’aménagement est </w:t>
      </w:r>
      <w:r w:rsidR="003157BB" w:rsidRPr="00DF2097">
        <w:t xml:space="preserve">réalisée pour permettre </w:t>
      </w:r>
      <w:r w:rsidRPr="00DF2097">
        <w:t>l’équilibre de la section de fonctionnement.</w:t>
      </w:r>
      <w:r w:rsidR="008F4D6B">
        <w:t xml:space="preserve"> Elle progresse en 2017 en raison de la croissance de la dotation aux amortissements (dépenses d’ordre devant être couverte par une recette de fonctionnement), en raison de la progression des participations versées par Est Ensemble aux aménageurs</w:t>
      </w:r>
      <w:r w:rsidRPr="00DF2097">
        <w:t>.</w:t>
      </w:r>
    </w:p>
    <w:p w:rsidR="00D21714" w:rsidRDefault="00D21714" w:rsidP="00DF2097"/>
    <w:p w:rsidR="00D21714" w:rsidRDefault="00D21714" w:rsidP="00B01171">
      <w:pPr>
        <w:pStyle w:val="Titre4"/>
        <w:numPr>
          <w:ilvl w:val="0"/>
          <w:numId w:val="9"/>
        </w:numPr>
      </w:pPr>
      <w:r>
        <w:t>Les autres recettes</w:t>
      </w:r>
    </w:p>
    <w:p w:rsidR="00D21714" w:rsidRPr="00D21714" w:rsidRDefault="00D21714" w:rsidP="00DF2097"/>
    <w:tbl>
      <w:tblPr>
        <w:tblW w:w="9709" w:type="dxa"/>
        <w:tblInd w:w="55" w:type="dxa"/>
        <w:tblCellMar>
          <w:left w:w="70" w:type="dxa"/>
          <w:right w:w="70" w:type="dxa"/>
        </w:tblCellMar>
        <w:tblLook w:val="04A0" w:firstRow="1" w:lastRow="0" w:firstColumn="1" w:lastColumn="0" w:noHBand="0" w:noVBand="1"/>
      </w:tblPr>
      <w:tblGrid>
        <w:gridCol w:w="5669"/>
        <w:gridCol w:w="2020"/>
        <w:gridCol w:w="2020"/>
      </w:tblGrid>
      <w:tr w:rsidR="008F4D6B" w:rsidRPr="008F4D6B" w:rsidTr="008F4D6B">
        <w:trPr>
          <w:trHeight w:val="255"/>
        </w:trPr>
        <w:tc>
          <w:tcPr>
            <w:tcW w:w="5669" w:type="dxa"/>
            <w:tcBorders>
              <w:top w:val="single" w:sz="8" w:space="0" w:color="auto"/>
              <w:left w:val="single" w:sz="8" w:space="0" w:color="auto"/>
              <w:bottom w:val="nil"/>
              <w:right w:val="nil"/>
            </w:tcBorders>
            <w:shd w:val="clear" w:color="000000" w:fill="1F497D"/>
            <w:noWrap/>
            <w:vAlign w:val="center"/>
            <w:hideMark/>
          </w:tcPr>
          <w:p w:rsidR="008F4D6B" w:rsidRPr="008F4D6B" w:rsidRDefault="008F4D6B" w:rsidP="008F4D6B">
            <w:pPr>
              <w:spacing w:line="240" w:lineRule="auto"/>
              <w:jc w:val="left"/>
              <w:rPr>
                <w:rFonts w:eastAsia="Times New Roman" w:cs="Arial"/>
                <w:b/>
                <w:bCs/>
                <w:color w:val="FFFFFF"/>
                <w:sz w:val="18"/>
                <w:szCs w:val="18"/>
                <w:lang w:eastAsia="fr-FR"/>
              </w:rPr>
            </w:pPr>
            <w:r w:rsidRPr="008F4D6B">
              <w:rPr>
                <w:rFonts w:eastAsia="Times New Roman" w:cs="Arial"/>
                <w:b/>
                <w:bCs/>
                <w:color w:val="FFFFFF"/>
                <w:sz w:val="18"/>
                <w:szCs w:val="18"/>
                <w:lang w:eastAsia="fr-FR"/>
              </w:rPr>
              <w:t>PROGRAMME</w:t>
            </w:r>
          </w:p>
        </w:tc>
        <w:tc>
          <w:tcPr>
            <w:tcW w:w="2020" w:type="dxa"/>
            <w:tcBorders>
              <w:top w:val="single" w:sz="8" w:space="0" w:color="auto"/>
              <w:left w:val="nil"/>
              <w:bottom w:val="nil"/>
              <w:right w:val="nil"/>
            </w:tcBorders>
            <w:shd w:val="clear" w:color="000000" w:fill="1F497D"/>
            <w:vAlign w:val="center"/>
            <w:hideMark/>
          </w:tcPr>
          <w:p w:rsidR="008F4D6B" w:rsidRPr="008F4D6B" w:rsidRDefault="008F4D6B" w:rsidP="008F4D6B">
            <w:pPr>
              <w:spacing w:line="240" w:lineRule="auto"/>
              <w:jc w:val="center"/>
              <w:rPr>
                <w:rFonts w:eastAsia="Times New Roman" w:cs="Arial"/>
                <w:b/>
                <w:bCs/>
                <w:color w:val="FFFFFF"/>
                <w:sz w:val="18"/>
                <w:szCs w:val="18"/>
                <w:lang w:eastAsia="fr-FR"/>
              </w:rPr>
            </w:pPr>
            <w:r w:rsidRPr="008F4D6B">
              <w:rPr>
                <w:rFonts w:eastAsia="Times New Roman" w:cs="Arial"/>
                <w:b/>
                <w:bCs/>
                <w:color w:val="FFFFFF"/>
                <w:sz w:val="18"/>
                <w:szCs w:val="18"/>
                <w:lang w:eastAsia="fr-FR"/>
              </w:rPr>
              <w:t>CA 2016</w:t>
            </w:r>
          </w:p>
        </w:tc>
        <w:tc>
          <w:tcPr>
            <w:tcW w:w="2020" w:type="dxa"/>
            <w:tcBorders>
              <w:top w:val="single" w:sz="8" w:space="0" w:color="auto"/>
              <w:left w:val="nil"/>
              <w:bottom w:val="nil"/>
              <w:right w:val="single" w:sz="8" w:space="0" w:color="auto"/>
            </w:tcBorders>
            <w:shd w:val="clear" w:color="000000" w:fill="1F497D"/>
            <w:noWrap/>
            <w:vAlign w:val="center"/>
            <w:hideMark/>
          </w:tcPr>
          <w:p w:rsidR="008F4D6B" w:rsidRPr="008F4D6B" w:rsidRDefault="008F4D6B" w:rsidP="008F4D6B">
            <w:pPr>
              <w:spacing w:line="240" w:lineRule="auto"/>
              <w:jc w:val="center"/>
              <w:rPr>
                <w:rFonts w:eastAsia="Times New Roman" w:cs="Arial"/>
                <w:b/>
                <w:bCs/>
                <w:color w:val="FFFFFF"/>
                <w:sz w:val="18"/>
                <w:szCs w:val="18"/>
                <w:lang w:eastAsia="fr-FR"/>
              </w:rPr>
            </w:pPr>
            <w:r w:rsidRPr="008F4D6B">
              <w:rPr>
                <w:rFonts w:eastAsia="Times New Roman" w:cs="Arial"/>
                <w:b/>
                <w:bCs/>
                <w:color w:val="FFFFFF"/>
                <w:sz w:val="18"/>
                <w:szCs w:val="18"/>
                <w:lang w:eastAsia="fr-FR"/>
              </w:rPr>
              <w:t>CA 2017</w:t>
            </w:r>
          </w:p>
        </w:tc>
      </w:tr>
      <w:tr w:rsidR="008F4D6B" w:rsidRPr="008F4D6B" w:rsidTr="008F4D6B">
        <w:trPr>
          <w:trHeight w:val="255"/>
        </w:trPr>
        <w:tc>
          <w:tcPr>
            <w:tcW w:w="5669" w:type="dxa"/>
            <w:tcBorders>
              <w:top w:val="nil"/>
              <w:left w:val="single" w:sz="8" w:space="0" w:color="auto"/>
              <w:bottom w:val="nil"/>
              <w:right w:val="nil"/>
            </w:tcBorders>
            <w:shd w:val="clear" w:color="auto" w:fill="auto"/>
            <w:noWrap/>
            <w:vAlign w:val="center"/>
            <w:hideMark/>
          </w:tcPr>
          <w:p w:rsidR="008F4D6B" w:rsidRPr="008F4D6B" w:rsidRDefault="008F4D6B" w:rsidP="008F4D6B">
            <w:pPr>
              <w:spacing w:line="240" w:lineRule="auto"/>
              <w:jc w:val="left"/>
              <w:rPr>
                <w:rFonts w:eastAsia="Times New Roman" w:cs="Arial"/>
                <w:sz w:val="18"/>
                <w:szCs w:val="18"/>
                <w:lang w:eastAsia="fr-FR"/>
              </w:rPr>
            </w:pPr>
            <w:r w:rsidRPr="008F4D6B">
              <w:rPr>
                <w:rFonts w:eastAsia="Times New Roman" w:cs="Arial"/>
                <w:sz w:val="18"/>
                <w:szCs w:val="18"/>
                <w:lang w:eastAsia="fr-FR"/>
              </w:rPr>
              <w:t>0111205 - REGULARISATIONS</w:t>
            </w:r>
          </w:p>
        </w:tc>
        <w:tc>
          <w:tcPr>
            <w:tcW w:w="2020" w:type="dxa"/>
            <w:tcBorders>
              <w:top w:val="nil"/>
              <w:left w:val="nil"/>
              <w:bottom w:val="nil"/>
              <w:right w:val="nil"/>
            </w:tcBorders>
            <w:shd w:val="clear" w:color="auto" w:fill="auto"/>
            <w:vAlign w:val="center"/>
            <w:hideMark/>
          </w:tcPr>
          <w:p w:rsidR="008F4D6B" w:rsidRPr="008F4D6B" w:rsidRDefault="008F4D6B" w:rsidP="008F4D6B">
            <w:pPr>
              <w:spacing w:line="240" w:lineRule="auto"/>
              <w:jc w:val="right"/>
              <w:rPr>
                <w:rFonts w:eastAsia="Times New Roman" w:cs="Arial"/>
                <w:sz w:val="18"/>
                <w:szCs w:val="18"/>
                <w:lang w:eastAsia="fr-FR"/>
              </w:rPr>
            </w:pPr>
            <w:r w:rsidRPr="008F4D6B">
              <w:rPr>
                <w:rFonts w:eastAsia="Times New Roman" w:cs="Arial"/>
                <w:sz w:val="18"/>
                <w:szCs w:val="18"/>
                <w:lang w:eastAsia="fr-FR"/>
              </w:rPr>
              <w:t>1 375,00 €</w:t>
            </w:r>
          </w:p>
        </w:tc>
        <w:tc>
          <w:tcPr>
            <w:tcW w:w="2020" w:type="dxa"/>
            <w:tcBorders>
              <w:top w:val="nil"/>
              <w:left w:val="nil"/>
              <w:bottom w:val="nil"/>
              <w:right w:val="single" w:sz="8" w:space="0" w:color="auto"/>
            </w:tcBorders>
            <w:shd w:val="clear" w:color="auto" w:fill="auto"/>
            <w:vAlign w:val="center"/>
            <w:hideMark/>
          </w:tcPr>
          <w:p w:rsidR="008F4D6B" w:rsidRPr="008F4D6B" w:rsidRDefault="008F4D6B" w:rsidP="008F4D6B">
            <w:pPr>
              <w:spacing w:line="240" w:lineRule="auto"/>
              <w:jc w:val="right"/>
              <w:rPr>
                <w:rFonts w:eastAsia="Times New Roman" w:cs="Arial"/>
                <w:sz w:val="18"/>
                <w:szCs w:val="18"/>
                <w:lang w:eastAsia="fr-FR"/>
              </w:rPr>
            </w:pPr>
            <w:r w:rsidRPr="008F4D6B">
              <w:rPr>
                <w:rFonts w:eastAsia="Times New Roman" w:cs="Arial"/>
                <w:sz w:val="18"/>
                <w:szCs w:val="18"/>
                <w:lang w:eastAsia="fr-FR"/>
              </w:rPr>
              <w:t>11 378,89 €</w:t>
            </w:r>
          </w:p>
        </w:tc>
      </w:tr>
      <w:tr w:rsidR="008F4D6B" w:rsidRPr="008F4D6B" w:rsidTr="008F4D6B">
        <w:trPr>
          <w:trHeight w:val="255"/>
        </w:trPr>
        <w:tc>
          <w:tcPr>
            <w:tcW w:w="5669" w:type="dxa"/>
            <w:tcBorders>
              <w:top w:val="nil"/>
              <w:left w:val="single" w:sz="8" w:space="0" w:color="auto"/>
              <w:bottom w:val="nil"/>
              <w:right w:val="nil"/>
            </w:tcBorders>
            <w:shd w:val="clear" w:color="auto" w:fill="auto"/>
            <w:noWrap/>
            <w:vAlign w:val="center"/>
            <w:hideMark/>
          </w:tcPr>
          <w:p w:rsidR="008F4D6B" w:rsidRPr="008F4D6B" w:rsidRDefault="008F4D6B" w:rsidP="008F4D6B">
            <w:pPr>
              <w:spacing w:line="240" w:lineRule="auto"/>
              <w:jc w:val="left"/>
              <w:rPr>
                <w:rFonts w:eastAsia="Times New Roman" w:cs="Arial"/>
                <w:sz w:val="18"/>
                <w:szCs w:val="18"/>
                <w:lang w:eastAsia="fr-FR"/>
              </w:rPr>
            </w:pPr>
            <w:r w:rsidRPr="008F4D6B">
              <w:rPr>
                <w:rFonts w:eastAsia="Times New Roman" w:cs="Arial"/>
                <w:sz w:val="18"/>
                <w:szCs w:val="18"/>
                <w:lang w:eastAsia="fr-FR"/>
              </w:rPr>
              <w:t>0211203 - ZAC FRATERNITE</w:t>
            </w:r>
          </w:p>
        </w:tc>
        <w:tc>
          <w:tcPr>
            <w:tcW w:w="2020" w:type="dxa"/>
            <w:tcBorders>
              <w:top w:val="nil"/>
              <w:left w:val="nil"/>
              <w:bottom w:val="nil"/>
              <w:right w:val="nil"/>
            </w:tcBorders>
            <w:shd w:val="clear" w:color="auto" w:fill="auto"/>
            <w:vAlign w:val="center"/>
            <w:hideMark/>
          </w:tcPr>
          <w:p w:rsidR="008F4D6B" w:rsidRPr="008F4D6B" w:rsidRDefault="008F4D6B" w:rsidP="008F4D6B">
            <w:pPr>
              <w:spacing w:line="240" w:lineRule="auto"/>
              <w:jc w:val="right"/>
              <w:rPr>
                <w:rFonts w:eastAsia="Times New Roman" w:cs="Arial"/>
                <w:sz w:val="18"/>
                <w:szCs w:val="18"/>
                <w:lang w:eastAsia="fr-FR"/>
              </w:rPr>
            </w:pPr>
            <w:r w:rsidRPr="008F4D6B">
              <w:rPr>
                <w:rFonts w:eastAsia="Times New Roman" w:cs="Arial"/>
                <w:sz w:val="18"/>
                <w:szCs w:val="18"/>
                <w:lang w:eastAsia="fr-FR"/>
              </w:rPr>
              <w:t>161 584,37 €</w:t>
            </w:r>
          </w:p>
        </w:tc>
        <w:tc>
          <w:tcPr>
            <w:tcW w:w="2020" w:type="dxa"/>
            <w:tcBorders>
              <w:top w:val="nil"/>
              <w:left w:val="nil"/>
              <w:bottom w:val="nil"/>
              <w:right w:val="single" w:sz="8" w:space="0" w:color="auto"/>
            </w:tcBorders>
            <w:shd w:val="clear" w:color="auto" w:fill="auto"/>
            <w:vAlign w:val="center"/>
            <w:hideMark/>
          </w:tcPr>
          <w:p w:rsidR="008F4D6B" w:rsidRPr="008F4D6B" w:rsidRDefault="008F4D6B" w:rsidP="008F4D6B">
            <w:pPr>
              <w:spacing w:line="240" w:lineRule="auto"/>
              <w:jc w:val="right"/>
              <w:rPr>
                <w:rFonts w:eastAsia="Times New Roman" w:cs="Arial"/>
                <w:sz w:val="18"/>
                <w:szCs w:val="18"/>
                <w:lang w:eastAsia="fr-FR"/>
              </w:rPr>
            </w:pPr>
            <w:r w:rsidRPr="008F4D6B">
              <w:rPr>
                <w:rFonts w:eastAsia="Times New Roman" w:cs="Arial"/>
                <w:sz w:val="18"/>
                <w:szCs w:val="18"/>
                <w:lang w:eastAsia="fr-FR"/>
              </w:rPr>
              <w:t> </w:t>
            </w:r>
          </w:p>
        </w:tc>
      </w:tr>
      <w:tr w:rsidR="008F4D6B" w:rsidRPr="008F4D6B" w:rsidTr="008F4D6B">
        <w:trPr>
          <w:trHeight w:val="255"/>
        </w:trPr>
        <w:tc>
          <w:tcPr>
            <w:tcW w:w="5669" w:type="dxa"/>
            <w:tcBorders>
              <w:top w:val="nil"/>
              <w:left w:val="single" w:sz="8" w:space="0" w:color="auto"/>
              <w:bottom w:val="nil"/>
              <w:right w:val="nil"/>
            </w:tcBorders>
            <w:shd w:val="clear" w:color="auto" w:fill="auto"/>
            <w:noWrap/>
            <w:vAlign w:val="center"/>
            <w:hideMark/>
          </w:tcPr>
          <w:p w:rsidR="008F4D6B" w:rsidRPr="008F4D6B" w:rsidRDefault="008F4D6B" w:rsidP="008F4D6B">
            <w:pPr>
              <w:spacing w:line="240" w:lineRule="auto"/>
              <w:jc w:val="left"/>
              <w:rPr>
                <w:rFonts w:eastAsia="Times New Roman" w:cs="Arial"/>
                <w:sz w:val="18"/>
                <w:szCs w:val="18"/>
                <w:lang w:eastAsia="fr-FR"/>
              </w:rPr>
            </w:pPr>
            <w:r w:rsidRPr="008F4D6B">
              <w:rPr>
                <w:rFonts w:eastAsia="Times New Roman" w:cs="Arial"/>
                <w:sz w:val="18"/>
                <w:szCs w:val="18"/>
                <w:lang w:eastAsia="fr-FR"/>
              </w:rPr>
              <w:t>0211206 - ZAC CENTRE VILLE LES LILAS</w:t>
            </w:r>
          </w:p>
        </w:tc>
        <w:tc>
          <w:tcPr>
            <w:tcW w:w="2020" w:type="dxa"/>
            <w:tcBorders>
              <w:top w:val="nil"/>
              <w:left w:val="nil"/>
              <w:bottom w:val="nil"/>
              <w:right w:val="nil"/>
            </w:tcBorders>
            <w:shd w:val="clear" w:color="auto" w:fill="auto"/>
            <w:vAlign w:val="center"/>
            <w:hideMark/>
          </w:tcPr>
          <w:p w:rsidR="008F4D6B" w:rsidRPr="008F4D6B" w:rsidRDefault="008F4D6B" w:rsidP="008F4D6B">
            <w:pPr>
              <w:spacing w:line="240" w:lineRule="auto"/>
              <w:jc w:val="right"/>
              <w:rPr>
                <w:rFonts w:eastAsia="Times New Roman" w:cs="Arial"/>
                <w:sz w:val="18"/>
                <w:szCs w:val="18"/>
                <w:lang w:eastAsia="fr-FR"/>
              </w:rPr>
            </w:pPr>
            <w:r w:rsidRPr="008F4D6B">
              <w:rPr>
                <w:rFonts w:eastAsia="Times New Roman" w:cs="Arial"/>
                <w:sz w:val="18"/>
                <w:szCs w:val="18"/>
                <w:lang w:eastAsia="fr-FR"/>
              </w:rPr>
              <w:t>4 585 687,87 €</w:t>
            </w:r>
          </w:p>
        </w:tc>
        <w:tc>
          <w:tcPr>
            <w:tcW w:w="2020" w:type="dxa"/>
            <w:tcBorders>
              <w:top w:val="nil"/>
              <w:left w:val="nil"/>
              <w:bottom w:val="nil"/>
              <w:right w:val="single" w:sz="8" w:space="0" w:color="auto"/>
            </w:tcBorders>
            <w:shd w:val="clear" w:color="auto" w:fill="auto"/>
            <w:vAlign w:val="center"/>
            <w:hideMark/>
          </w:tcPr>
          <w:p w:rsidR="008F4D6B" w:rsidRPr="008F4D6B" w:rsidRDefault="008F4D6B" w:rsidP="008F4D6B">
            <w:pPr>
              <w:spacing w:line="240" w:lineRule="auto"/>
              <w:jc w:val="right"/>
              <w:rPr>
                <w:rFonts w:eastAsia="Times New Roman" w:cs="Arial"/>
                <w:sz w:val="18"/>
                <w:szCs w:val="18"/>
                <w:lang w:eastAsia="fr-FR"/>
              </w:rPr>
            </w:pPr>
            <w:r w:rsidRPr="008F4D6B">
              <w:rPr>
                <w:rFonts w:eastAsia="Times New Roman" w:cs="Arial"/>
                <w:sz w:val="18"/>
                <w:szCs w:val="18"/>
                <w:lang w:eastAsia="fr-FR"/>
              </w:rPr>
              <w:t>6 650,28 €</w:t>
            </w:r>
          </w:p>
        </w:tc>
      </w:tr>
      <w:tr w:rsidR="008F4D6B" w:rsidRPr="008F4D6B" w:rsidTr="008F4D6B">
        <w:trPr>
          <w:trHeight w:val="270"/>
        </w:trPr>
        <w:tc>
          <w:tcPr>
            <w:tcW w:w="5669" w:type="dxa"/>
            <w:tcBorders>
              <w:top w:val="nil"/>
              <w:left w:val="single" w:sz="8" w:space="0" w:color="auto"/>
              <w:bottom w:val="single" w:sz="8" w:space="0" w:color="auto"/>
              <w:right w:val="nil"/>
            </w:tcBorders>
            <w:shd w:val="clear" w:color="000000" w:fill="BFBFBF"/>
            <w:noWrap/>
            <w:vAlign w:val="center"/>
            <w:hideMark/>
          </w:tcPr>
          <w:p w:rsidR="008F4D6B" w:rsidRPr="008F4D6B" w:rsidRDefault="008F4D6B" w:rsidP="008F4D6B">
            <w:pPr>
              <w:spacing w:line="240" w:lineRule="auto"/>
              <w:jc w:val="left"/>
              <w:rPr>
                <w:rFonts w:eastAsia="Times New Roman" w:cs="Arial"/>
                <w:b/>
                <w:bCs/>
                <w:sz w:val="18"/>
                <w:szCs w:val="18"/>
                <w:lang w:eastAsia="fr-FR"/>
              </w:rPr>
            </w:pPr>
            <w:r w:rsidRPr="008F4D6B">
              <w:rPr>
                <w:rFonts w:eastAsia="Times New Roman" w:cs="Arial"/>
                <w:b/>
                <w:bCs/>
                <w:sz w:val="18"/>
                <w:szCs w:val="18"/>
                <w:lang w:eastAsia="fr-FR"/>
              </w:rPr>
              <w:t>Total général</w:t>
            </w:r>
          </w:p>
        </w:tc>
        <w:tc>
          <w:tcPr>
            <w:tcW w:w="2020" w:type="dxa"/>
            <w:tcBorders>
              <w:top w:val="nil"/>
              <w:left w:val="nil"/>
              <w:bottom w:val="single" w:sz="8" w:space="0" w:color="auto"/>
              <w:right w:val="nil"/>
            </w:tcBorders>
            <w:shd w:val="clear" w:color="000000" w:fill="BFBFBF"/>
            <w:vAlign w:val="center"/>
            <w:hideMark/>
          </w:tcPr>
          <w:p w:rsidR="008F4D6B" w:rsidRPr="008F4D6B" w:rsidRDefault="008F4D6B" w:rsidP="008F4D6B">
            <w:pPr>
              <w:spacing w:line="240" w:lineRule="auto"/>
              <w:jc w:val="right"/>
              <w:rPr>
                <w:rFonts w:eastAsia="Times New Roman" w:cs="Arial"/>
                <w:b/>
                <w:bCs/>
                <w:sz w:val="18"/>
                <w:szCs w:val="18"/>
                <w:lang w:eastAsia="fr-FR"/>
              </w:rPr>
            </w:pPr>
            <w:r w:rsidRPr="008F4D6B">
              <w:rPr>
                <w:rFonts w:eastAsia="Times New Roman" w:cs="Arial"/>
                <w:b/>
                <w:bCs/>
                <w:sz w:val="18"/>
                <w:szCs w:val="18"/>
                <w:lang w:eastAsia="fr-FR"/>
              </w:rPr>
              <w:t>4 748 647,24 €</w:t>
            </w:r>
          </w:p>
        </w:tc>
        <w:tc>
          <w:tcPr>
            <w:tcW w:w="2020" w:type="dxa"/>
            <w:tcBorders>
              <w:top w:val="nil"/>
              <w:left w:val="nil"/>
              <w:bottom w:val="single" w:sz="8" w:space="0" w:color="auto"/>
              <w:right w:val="single" w:sz="8" w:space="0" w:color="auto"/>
            </w:tcBorders>
            <w:shd w:val="clear" w:color="000000" w:fill="BFBFBF"/>
            <w:vAlign w:val="center"/>
            <w:hideMark/>
          </w:tcPr>
          <w:p w:rsidR="008F4D6B" w:rsidRPr="008F4D6B" w:rsidRDefault="008F4D6B" w:rsidP="008F4D6B">
            <w:pPr>
              <w:spacing w:line="240" w:lineRule="auto"/>
              <w:jc w:val="right"/>
              <w:rPr>
                <w:rFonts w:eastAsia="Times New Roman" w:cs="Arial"/>
                <w:b/>
                <w:bCs/>
                <w:sz w:val="18"/>
                <w:szCs w:val="18"/>
                <w:lang w:eastAsia="fr-FR"/>
              </w:rPr>
            </w:pPr>
            <w:r w:rsidRPr="008F4D6B">
              <w:rPr>
                <w:rFonts w:eastAsia="Times New Roman" w:cs="Arial"/>
                <w:b/>
                <w:bCs/>
                <w:sz w:val="18"/>
                <w:szCs w:val="18"/>
                <w:lang w:eastAsia="fr-FR"/>
              </w:rPr>
              <w:t>18 029,17 €</w:t>
            </w:r>
          </w:p>
        </w:tc>
      </w:tr>
    </w:tbl>
    <w:p w:rsidR="000567F0" w:rsidRDefault="000567F0" w:rsidP="00DF2097">
      <w:pPr>
        <w:rPr>
          <w:b/>
        </w:rPr>
      </w:pPr>
    </w:p>
    <w:p w:rsidR="003F163C" w:rsidRPr="003F163C" w:rsidRDefault="003F163C" w:rsidP="00DF2097">
      <w:r w:rsidRPr="003F163C">
        <w:t>Ces recettes diminuent de façon importante en raison de l’achèvement des opérations réalisées sur la ZAC des Lilas.</w:t>
      </w:r>
    </w:p>
    <w:p w:rsidR="003F163C" w:rsidRDefault="003F163C" w:rsidP="00DF2097">
      <w:pPr>
        <w:rPr>
          <w:b/>
        </w:rPr>
      </w:pPr>
    </w:p>
    <w:p w:rsidR="00BA39CE" w:rsidRDefault="00BA39CE" w:rsidP="00DF2097">
      <w:pPr>
        <w:pStyle w:val="Titre3"/>
        <w:spacing w:before="0"/>
        <w:jc w:val="left"/>
        <w:rPr>
          <w:u w:val="none"/>
        </w:rPr>
      </w:pPr>
      <w:bookmarkStart w:id="102" w:name="_Toc509490451"/>
      <w:r>
        <w:t>Les dépenses de fonctionnement</w:t>
      </w:r>
      <w:bookmarkEnd w:id="102"/>
    </w:p>
    <w:p w:rsidR="00DF2097" w:rsidRPr="00DF2097" w:rsidRDefault="00DF2097" w:rsidP="00DF2097"/>
    <w:p w:rsidR="002E489A" w:rsidRDefault="002E489A" w:rsidP="00B01171">
      <w:pPr>
        <w:pStyle w:val="Titre4"/>
        <w:numPr>
          <w:ilvl w:val="0"/>
          <w:numId w:val="27"/>
        </w:numPr>
      </w:pPr>
      <w:r w:rsidRPr="00DF2097">
        <w:t xml:space="preserve">Les dépenses </w:t>
      </w:r>
    </w:p>
    <w:p w:rsidR="00DF2097" w:rsidRPr="00DF2097" w:rsidRDefault="00DF2097" w:rsidP="00DF2097"/>
    <w:tbl>
      <w:tblPr>
        <w:tblW w:w="9709" w:type="dxa"/>
        <w:tblInd w:w="55" w:type="dxa"/>
        <w:tblCellMar>
          <w:left w:w="70" w:type="dxa"/>
          <w:right w:w="70" w:type="dxa"/>
        </w:tblCellMar>
        <w:tblLook w:val="04A0" w:firstRow="1" w:lastRow="0" w:firstColumn="1" w:lastColumn="0" w:noHBand="0" w:noVBand="1"/>
      </w:tblPr>
      <w:tblGrid>
        <w:gridCol w:w="5669"/>
        <w:gridCol w:w="2020"/>
        <w:gridCol w:w="2020"/>
      </w:tblGrid>
      <w:tr w:rsidR="008F4D6B" w:rsidRPr="008F4D6B" w:rsidTr="008F4D6B">
        <w:trPr>
          <w:trHeight w:val="255"/>
        </w:trPr>
        <w:tc>
          <w:tcPr>
            <w:tcW w:w="5669" w:type="dxa"/>
            <w:tcBorders>
              <w:top w:val="single" w:sz="8" w:space="0" w:color="auto"/>
              <w:left w:val="single" w:sz="8" w:space="0" w:color="auto"/>
              <w:bottom w:val="nil"/>
              <w:right w:val="nil"/>
            </w:tcBorders>
            <w:shd w:val="clear" w:color="000000" w:fill="1F497D"/>
            <w:noWrap/>
            <w:vAlign w:val="center"/>
            <w:hideMark/>
          </w:tcPr>
          <w:p w:rsidR="008F4D6B" w:rsidRPr="008F4D6B" w:rsidRDefault="008F4D6B" w:rsidP="008F4D6B">
            <w:pPr>
              <w:spacing w:line="240" w:lineRule="auto"/>
              <w:jc w:val="left"/>
              <w:rPr>
                <w:rFonts w:eastAsia="Times New Roman" w:cs="Arial"/>
                <w:b/>
                <w:bCs/>
                <w:color w:val="FFFFFF"/>
                <w:sz w:val="18"/>
                <w:szCs w:val="18"/>
                <w:lang w:eastAsia="fr-FR"/>
              </w:rPr>
            </w:pPr>
            <w:r w:rsidRPr="008F4D6B">
              <w:rPr>
                <w:rFonts w:eastAsia="Times New Roman" w:cs="Arial"/>
                <w:b/>
                <w:bCs/>
                <w:color w:val="FFFFFF"/>
                <w:sz w:val="18"/>
                <w:szCs w:val="18"/>
                <w:lang w:eastAsia="fr-FR"/>
              </w:rPr>
              <w:t>PROGRAMME</w:t>
            </w:r>
          </w:p>
        </w:tc>
        <w:tc>
          <w:tcPr>
            <w:tcW w:w="2020" w:type="dxa"/>
            <w:tcBorders>
              <w:top w:val="single" w:sz="8" w:space="0" w:color="auto"/>
              <w:left w:val="nil"/>
              <w:bottom w:val="nil"/>
              <w:right w:val="nil"/>
            </w:tcBorders>
            <w:shd w:val="clear" w:color="000000" w:fill="1F497D"/>
            <w:vAlign w:val="center"/>
            <w:hideMark/>
          </w:tcPr>
          <w:p w:rsidR="008F4D6B" w:rsidRPr="008F4D6B" w:rsidRDefault="008F4D6B" w:rsidP="008F4D6B">
            <w:pPr>
              <w:spacing w:line="240" w:lineRule="auto"/>
              <w:jc w:val="center"/>
              <w:rPr>
                <w:rFonts w:eastAsia="Times New Roman" w:cs="Arial"/>
                <w:b/>
                <w:bCs/>
                <w:color w:val="FFFFFF"/>
                <w:sz w:val="18"/>
                <w:szCs w:val="18"/>
                <w:lang w:eastAsia="fr-FR"/>
              </w:rPr>
            </w:pPr>
            <w:r w:rsidRPr="008F4D6B">
              <w:rPr>
                <w:rFonts w:eastAsia="Times New Roman" w:cs="Arial"/>
                <w:b/>
                <w:bCs/>
                <w:color w:val="FFFFFF"/>
                <w:sz w:val="18"/>
                <w:szCs w:val="18"/>
                <w:lang w:eastAsia="fr-FR"/>
              </w:rPr>
              <w:t>CA 2016</w:t>
            </w:r>
          </w:p>
        </w:tc>
        <w:tc>
          <w:tcPr>
            <w:tcW w:w="2020" w:type="dxa"/>
            <w:tcBorders>
              <w:top w:val="single" w:sz="8" w:space="0" w:color="auto"/>
              <w:left w:val="nil"/>
              <w:bottom w:val="nil"/>
              <w:right w:val="single" w:sz="8" w:space="0" w:color="auto"/>
            </w:tcBorders>
            <w:shd w:val="clear" w:color="000000" w:fill="1F497D"/>
            <w:noWrap/>
            <w:vAlign w:val="center"/>
            <w:hideMark/>
          </w:tcPr>
          <w:p w:rsidR="008F4D6B" w:rsidRPr="008F4D6B" w:rsidRDefault="008F4D6B" w:rsidP="008F4D6B">
            <w:pPr>
              <w:spacing w:line="240" w:lineRule="auto"/>
              <w:jc w:val="center"/>
              <w:rPr>
                <w:rFonts w:eastAsia="Times New Roman" w:cs="Arial"/>
                <w:b/>
                <w:bCs/>
                <w:color w:val="FFFFFF"/>
                <w:sz w:val="18"/>
                <w:szCs w:val="18"/>
                <w:lang w:eastAsia="fr-FR"/>
              </w:rPr>
            </w:pPr>
            <w:r w:rsidRPr="008F4D6B">
              <w:rPr>
                <w:rFonts w:eastAsia="Times New Roman" w:cs="Arial"/>
                <w:b/>
                <w:bCs/>
                <w:color w:val="FFFFFF"/>
                <w:sz w:val="18"/>
                <w:szCs w:val="18"/>
                <w:lang w:eastAsia="fr-FR"/>
              </w:rPr>
              <w:t>CA 2017</w:t>
            </w:r>
          </w:p>
        </w:tc>
      </w:tr>
      <w:tr w:rsidR="008F4D6B" w:rsidRPr="008F4D6B" w:rsidTr="008F4D6B">
        <w:trPr>
          <w:trHeight w:val="255"/>
        </w:trPr>
        <w:tc>
          <w:tcPr>
            <w:tcW w:w="5669" w:type="dxa"/>
            <w:tcBorders>
              <w:top w:val="nil"/>
              <w:left w:val="single" w:sz="8" w:space="0" w:color="auto"/>
              <w:bottom w:val="nil"/>
              <w:right w:val="nil"/>
            </w:tcBorders>
            <w:shd w:val="clear" w:color="auto" w:fill="auto"/>
            <w:noWrap/>
            <w:vAlign w:val="center"/>
            <w:hideMark/>
          </w:tcPr>
          <w:p w:rsidR="008F4D6B" w:rsidRPr="008F4D6B" w:rsidRDefault="008F4D6B" w:rsidP="008F4D6B">
            <w:pPr>
              <w:spacing w:line="240" w:lineRule="auto"/>
              <w:jc w:val="left"/>
              <w:rPr>
                <w:rFonts w:eastAsia="Times New Roman" w:cs="Arial"/>
                <w:sz w:val="18"/>
                <w:szCs w:val="18"/>
                <w:lang w:eastAsia="fr-FR"/>
              </w:rPr>
            </w:pPr>
            <w:r w:rsidRPr="008F4D6B">
              <w:rPr>
                <w:rFonts w:eastAsia="Times New Roman" w:cs="Arial"/>
                <w:sz w:val="18"/>
                <w:szCs w:val="18"/>
                <w:lang w:eastAsia="fr-FR"/>
              </w:rPr>
              <w:t>0211202 - ZAC BOISSIERE MONTREUIL</w:t>
            </w:r>
          </w:p>
        </w:tc>
        <w:tc>
          <w:tcPr>
            <w:tcW w:w="2020" w:type="dxa"/>
            <w:tcBorders>
              <w:top w:val="nil"/>
              <w:left w:val="nil"/>
              <w:bottom w:val="nil"/>
              <w:right w:val="nil"/>
            </w:tcBorders>
            <w:shd w:val="clear" w:color="auto" w:fill="auto"/>
            <w:vAlign w:val="center"/>
            <w:hideMark/>
          </w:tcPr>
          <w:p w:rsidR="008F4D6B" w:rsidRPr="008F4D6B" w:rsidRDefault="008F4D6B" w:rsidP="008F4D6B">
            <w:pPr>
              <w:spacing w:line="240" w:lineRule="auto"/>
              <w:jc w:val="right"/>
              <w:rPr>
                <w:rFonts w:eastAsia="Times New Roman" w:cs="Arial"/>
                <w:sz w:val="18"/>
                <w:szCs w:val="18"/>
                <w:lang w:eastAsia="fr-FR"/>
              </w:rPr>
            </w:pPr>
            <w:r w:rsidRPr="008F4D6B">
              <w:rPr>
                <w:rFonts w:eastAsia="Times New Roman" w:cs="Arial"/>
                <w:sz w:val="18"/>
                <w:szCs w:val="18"/>
                <w:lang w:eastAsia="fr-FR"/>
              </w:rPr>
              <w:t>2 496,00 €</w:t>
            </w:r>
          </w:p>
        </w:tc>
        <w:tc>
          <w:tcPr>
            <w:tcW w:w="2020" w:type="dxa"/>
            <w:tcBorders>
              <w:top w:val="nil"/>
              <w:left w:val="nil"/>
              <w:bottom w:val="nil"/>
              <w:right w:val="single" w:sz="8" w:space="0" w:color="auto"/>
            </w:tcBorders>
            <w:shd w:val="clear" w:color="auto" w:fill="auto"/>
            <w:vAlign w:val="center"/>
            <w:hideMark/>
          </w:tcPr>
          <w:p w:rsidR="008F4D6B" w:rsidRPr="008F4D6B" w:rsidRDefault="008F4D6B" w:rsidP="008F4D6B">
            <w:pPr>
              <w:spacing w:line="240" w:lineRule="auto"/>
              <w:jc w:val="right"/>
              <w:rPr>
                <w:rFonts w:eastAsia="Times New Roman" w:cs="Arial"/>
                <w:sz w:val="18"/>
                <w:szCs w:val="18"/>
                <w:lang w:eastAsia="fr-FR"/>
              </w:rPr>
            </w:pPr>
            <w:r w:rsidRPr="008F4D6B">
              <w:rPr>
                <w:rFonts w:eastAsia="Times New Roman" w:cs="Arial"/>
                <w:sz w:val="18"/>
                <w:szCs w:val="18"/>
                <w:lang w:eastAsia="fr-FR"/>
              </w:rPr>
              <w:t> </w:t>
            </w:r>
          </w:p>
        </w:tc>
      </w:tr>
      <w:tr w:rsidR="008F4D6B" w:rsidRPr="008F4D6B" w:rsidTr="008F4D6B">
        <w:trPr>
          <w:trHeight w:val="255"/>
        </w:trPr>
        <w:tc>
          <w:tcPr>
            <w:tcW w:w="5669" w:type="dxa"/>
            <w:tcBorders>
              <w:top w:val="nil"/>
              <w:left w:val="single" w:sz="8" w:space="0" w:color="auto"/>
              <w:bottom w:val="nil"/>
              <w:right w:val="nil"/>
            </w:tcBorders>
            <w:shd w:val="clear" w:color="auto" w:fill="auto"/>
            <w:noWrap/>
            <w:vAlign w:val="center"/>
            <w:hideMark/>
          </w:tcPr>
          <w:p w:rsidR="008F4D6B" w:rsidRPr="008F4D6B" w:rsidRDefault="008F4D6B" w:rsidP="008F4D6B">
            <w:pPr>
              <w:spacing w:line="240" w:lineRule="auto"/>
              <w:jc w:val="left"/>
              <w:rPr>
                <w:rFonts w:eastAsia="Times New Roman" w:cs="Arial"/>
                <w:sz w:val="18"/>
                <w:szCs w:val="18"/>
                <w:lang w:eastAsia="fr-FR"/>
              </w:rPr>
            </w:pPr>
            <w:r w:rsidRPr="008F4D6B">
              <w:rPr>
                <w:rFonts w:eastAsia="Times New Roman" w:cs="Arial"/>
                <w:sz w:val="18"/>
                <w:szCs w:val="18"/>
                <w:lang w:eastAsia="fr-FR"/>
              </w:rPr>
              <w:t>0211203 - ZAC FRATERNITE</w:t>
            </w:r>
          </w:p>
        </w:tc>
        <w:tc>
          <w:tcPr>
            <w:tcW w:w="2020" w:type="dxa"/>
            <w:tcBorders>
              <w:top w:val="nil"/>
              <w:left w:val="nil"/>
              <w:bottom w:val="nil"/>
              <w:right w:val="nil"/>
            </w:tcBorders>
            <w:shd w:val="clear" w:color="auto" w:fill="auto"/>
            <w:vAlign w:val="center"/>
            <w:hideMark/>
          </w:tcPr>
          <w:p w:rsidR="008F4D6B" w:rsidRPr="008F4D6B" w:rsidRDefault="008F4D6B" w:rsidP="008F4D6B">
            <w:pPr>
              <w:spacing w:line="240" w:lineRule="auto"/>
              <w:jc w:val="right"/>
              <w:rPr>
                <w:rFonts w:eastAsia="Times New Roman" w:cs="Arial"/>
                <w:sz w:val="18"/>
                <w:szCs w:val="18"/>
                <w:lang w:eastAsia="fr-FR"/>
              </w:rPr>
            </w:pPr>
            <w:r w:rsidRPr="008F4D6B">
              <w:rPr>
                <w:rFonts w:eastAsia="Times New Roman" w:cs="Arial"/>
                <w:sz w:val="18"/>
                <w:szCs w:val="18"/>
                <w:lang w:eastAsia="fr-FR"/>
              </w:rPr>
              <w:t xml:space="preserve">                 -   € </w:t>
            </w:r>
          </w:p>
        </w:tc>
        <w:tc>
          <w:tcPr>
            <w:tcW w:w="2020" w:type="dxa"/>
            <w:tcBorders>
              <w:top w:val="nil"/>
              <w:left w:val="nil"/>
              <w:bottom w:val="nil"/>
              <w:right w:val="single" w:sz="8" w:space="0" w:color="auto"/>
            </w:tcBorders>
            <w:shd w:val="clear" w:color="auto" w:fill="auto"/>
            <w:vAlign w:val="center"/>
            <w:hideMark/>
          </w:tcPr>
          <w:p w:rsidR="008F4D6B" w:rsidRPr="008F4D6B" w:rsidRDefault="008F4D6B" w:rsidP="008F4D6B">
            <w:pPr>
              <w:spacing w:line="240" w:lineRule="auto"/>
              <w:jc w:val="right"/>
              <w:rPr>
                <w:rFonts w:eastAsia="Times New Roman" w:cs="Arial"/>
                <w:sz w:val="18"/>
                <w:szCs w:val="18"/>
                <w:lang w:eastAsia="fr-FR"/>
              </w:rPr>
            </w:pPr>
            <w:r w:rsidRPr="008F4D6B">
              <w:rPr>
                <w:rFonts w:eastAsia="Times New Roman" w:cs="Arial"/>
                <w:sz w:val="18"/>
                <w:szCs w:val="18"/>
                <w:lang w:eastAsia="fr-FR"/>
              </w:rPr>
              <w:t>15 750,00 €</w:t>
            </w:r>
          </w:p>
        </w:tc>
      </w:tr>
      <w:tr w:rsidR="008F4D6B" w:rsidRPr="008F4D6B" w:rsidTr="008F4D6B">
        <w:trPr>
          <w:trHeight w:val="255"/>
        </w:trPr>
        <w:tc>
          <w:tcPr>
            <w:tcW w:w="5669" w:type="dxa"/>
            <w:tcBorders>
              <w:top w:val="nil"/>
              <w:left w:val="single" w:sz="8" w:space="0" w:color="auto"/>
              <w:bottom w:val="nil"/>
              <w:right w:val="nil"/>
            </w:tcBorders>
            <w:shd w:val="clear" w:color="auto" w:fill="auto"/>
            <w:noWrap/>
            <w:vAlign w:val="center"/>
            <w:hideMark/>
          </w:tcPr>
          <w:p w:rsidR="008F4D6B" w:rsidRPr="008F4D6B" w:rsidRDefault="008F4D6B" w:rsidP="008F4D6B">
            <w:pPr>
              <w:spacing w:line="240" w:lineRule="auto"/>
              <w:jc w:val="left"/>
              <w:rPr>
                <w:rFonts w:eastAsia="Times New Roman" w:cs="Arial"/>
                <w:sz w:val="18"/>
                <w:szCs w:val="18"/>
                <w:lang w:eastAsia="fr-FR"/>
              </w:rPr>
            </w:pPr>
            <w:r w:rsidRPr="008F4D6B">
              <w:rPr>
                <w:rFonts w:eastAsia="Times New Roman" w:cs="Arial"/>
                <w:sz w:val="18"/>
                <w:szCs w:val="18"/>
                <w:lang w:eastAsia="fr-FR"/>
              </w:rPr>
              <w:t>0211206 - ZAC CENTRE VILLE LES LILAS</w:t>
            </w:r>
          </w:p>
        </w:tc>
        <w:tc>
          <w:tcPr>
            <w:tcW w:w="2020" w:type="dxa"/>
            <w:tcBorders>
              <w:top w:val="nil"/>
              <w:left w:val="nil"/>
              <w:bottom w:val="nil"/>
              <w:right w:val="nil"/>
            </w:tcBorders>
            <w:shd w:val="clear" w:color="auto" w:fill="auto"/>
            <w:vAlign w:val="center"/>
            <w:hideMark/>
          </w:tcPr>
          <w:p w:rsidR="008F4D6B" w:rsidRPr="008F4D6B" w:rsidRDefault="008F4D6B" w:rsidP="008F4D6B">
            <w:pPr>
              <w:spacing w:line="240" w:lineRule="auto"/>
              <w:jc w:val="right"/>
              <w:rPr>
                <w:rFonts w:eastAsia="Times New Roman" w:cs="Arial"/>
                <w:sz w:val="18"/>
                <w:szCs w:val="18"/>
                <w:lang w:eastAsia="fr-FR"/>
              </w:rPr>
            </w:pPr>
            <w:r w:rsidRPr="008F4D6B">
              <w:rPr>
                <w:rFonts w:eastAsia="Times New Roman" w:cs="Arial"/>
                <w:sz w:val="18"/>
                <w:szCs w:val="18"/>
                <w:lang w:eastAsia="fr-FR"/>
              </w:rPr>
              <w:t>6 672 716,17 €</w:t>
            </w:r>
          </w:p>
        </w:tc>
        <w:tc>
          <w:tcPr>
            <w:tcW w:w="2020" w:type="dxa"/>
            <w:tcBorders>
              <w:top w:val="nil"/>
              <w:left w:val="nil"/>
              <w:bottom w:val="nil"/>
              <w:right w:val="single" w:sz="8" w:space="0" w:color="auto"/>
            </w:tcBorders>
            <w:shd w:val="clear" w:color="auto" w:fill="auto"/>
            <w:vAlign w:val="center"/>
            <w:hideMark/>
          </w:tcPr>
          <w:p w:rsidR="008F4D6B" w:rsidRPr="008F4D6B" w:rsidRDefault="008F4D6B" w:rsidP="008F4D6B">
            <w:pPr>
              <w:spacing w:line="240" w:lineRule="auto"/>
              <w:jc w:val="right"/>
              <w:rPr>
                <w:rFonts w:eastAsia="Times New Roman" w:cs="Arial"/>
                <w:sz w:val="18"/>
                <w:szCs w:val="18"/>
                <w:lang w:eastAsia="fr-FR"/>
              </w:rPr>
            </w:pPr>
            <w:r w:rsidRPr="008F4D6B">
              <w:rPr>
                <w:rFonts w:eastAsia="Times New Roman" w:cs="Arial"/>
                <w:sz w:val="18"/>
                <w:szCs w:val="18"/>
                <w:lang w:eastAsia="fr-FR"/>
              </w:rPr>
              <w:t>19 775,00 €</w:t>
            </w:r>
          </w:p>
        </w:tc>
      </w:tr>
      <w:tr w:rsidR="008F4D6B" w:rsidRPr="008F4D6B" w:rsidTr="008F4D6B">
        <w:trPr>
          <w:trHeight w:val="270"/>
        </w:trPr>
        <w:tc>
          <w:tcPr>
            <w:tcW w:w="5669" w:type="dxa"/>
            <w:tcBorders>
              <w:top w:val="nil"/>
              <w:left w:val="single" w:sz="8" w:space="0" w:color="auto"/>
              <w:bottom w:val="single" w:sz="8" w:space="0" w:color="auto"/>
              <w:right w:val="nil"/>
            </w:tcBorders>
            <w:shd w:val="clear" w:color="000000" w:fill="BFBFBF"/>
            <w:noWrap/>
            <w:vAlign w:val="center"/>
            <w:hideMark/>
          </w:tcPr>
          <w:p w:rsidR="008F4D6B" w:rsidRPr="008F4D6B" w:rsidRDefault="008F4D6B" w:rsidP="008F4D6B">
            <w:pPr>
              <w:spacing w:line="240" w:lineRule="auto"/>
              <w:jc w:val="left"/>
              <w:rPr>
                <w:rFonts w:eastAsia="Times New Roman" w:cs="Arial"/>
                <w:b/>
                <w:bCs/>
                <w:sz w:val="18"/>
                <w:szCs w:val="18"/>
                <w:lang w:eastAsia="fr-FR"/>
              </w:rPr>
            </w:pPr>
            <w:r w:rsidRPr="008F4D6B">
              <w:rPr>
                <w:rFonts w:eastAsia="Times New Roman" w:cs="Arial"/>
                <w:b/>
                <w:bCs/>
                <w:sz w:val="18"/>
                <w:szCs w:val="18"/>
                <w:lang w:eastAsia="fr-FR"/>
              </w:rPr>
              <w:t>Total général</w:t>
            </w:r>
          </w:p>
        </w:tc>
        <w:tc>
          <w:tcPr>
            <w:tcW w:w="2020" w:type="dxa"/>
            <w:tcBorders>
              <w:top w:val="nil"/>
              <w:left w:val="nil"/>
              <w:bottom w:val="single" w:sz="8" w:space="0" w:color="auto"/>
              <w:right w:val="nil"/>
            </w:tcBorders>
            <w:shd w:val="clear" w:color="000000" w:fill="BFBFBF"/>
            <w:vAlign w:val="center"/>
            <w:hideMark/>
          </w:tcPr>
          <w:p w:rsidR="008F4D6B" w:rsidRPr="008F4D6B" w:rsidRDefault="008F4D6B" w:rsidP="008F4D6B">
            <w:pPr>
              <w:spacing w:line="240" w:lineRule="auto"/>
              <w:jc w:val="right"/>
              <w:rPr>
                <w:rFonts w:eastAsia="Times New Roman" w:cs="Arial"/>
                <w:b/>
                <w:bCs/>
                <w:sz w:val="18"/>
                <w:szCs w:val="18"/>
                <w:lang w:eastAsia="fr-FR"/>
              </w:rPr>
            </w:pPr>
            <w:r w:rsidRPr="008F4D6B">
              <w:rPr>
                <w:rFonts w:eastAsia="Times New Roman" w:cs="Arial"/>
                <w:b/>
                <w:bCs/>
                <w:sz w:val="18"/>
                <w:szCs w:val="18"/>
                <w:lang w:eastAsia="fr-FR"/>
              </w:rPr>
              <w:t>6 675 212,17 €</w:t>
            </w:r>
          </w:p>
        </w:tc>
        <w:tc>
          <w:tcPr>
            <w:tcW w:w="2020" w:type="dxa"/>
            <w:tcBorders>
              <w:top w:val="nil"/>
              <w:left w:val="nil"/>
              <w:bottom w:val="single" w:sz="8" w:space="0" w:color="auto"/>
              <w:right w:val="single" w:sz="8" w:space="0" w:color="auto"/>
            </w:tcBorders>
            <w:shd w:val="clear" w:color="000000" w:fill="BFBFBF"/>
            <w:vAlign w:val="center"/>
            <w:hideMark/>
          </w:tcPr>
          <w:p w:rsidR="008F4D6B" w:rsidRDefault="008F4D6B">
            <w:pPr>
              <w:jc w:val="right"/>
              <w:rPr>
                <w:rFonts w:cs="Arial"/>
                <w:b/>
                <w:bCs/>
                <w:sz w:val="18"/>
                <w:szCs w:val="18"/>
              </w:rPr>
            </w:pPr>
            <w:r>
              <w:rPr>
                <w:rFonts w:cs="Arial"/>
                <w:b/>
                <w:bCs/>
                <w:sz w:val="18"/>
                <w:szCs w:val="18"/>
              </w:rPr>
              <w:t>35 525,00 €</w:t>
            </w:r>
          </w:p>
        </w:tc>
      </w:tr>
    </w:tbl>
    <w:p w:rsidR="002E489A" w:rsidRDefault="002E489A" w:rsidP="00DF2097">
      <w:pPr>
        <w:rPr>
          <w:b/>
        </w:rPr>
      </w:pPr>
    </w:p>
    <w:p w:rsidR="003F163C" w:rsidRPr="003F163C" w:rsidRDefault="003F163C" w:rsidP="003F163C">
      <w:r>
        <w:t xml:space="preserve">L’exercice 2017 est marqué par une modification de la structure des dépenses de fonctionnement en raison de l’achèvement des opérations </w:t>
      </w:r>
      <w:proofErr w:type="spellStart"/>
      <w:r w:rsidRPr="003F163C">
        <w:t>éalisées</w:t>
      </w:r>
      <w:proofErr w:type="spellEnd"/>
      <w:r w:rsidRPr="003F163C">
        <w:t xml:space="preserve"> sur la ZAC des Lilas.</w:t>
      </w:r>
    </w:p>
    <w:p w:rsidR="003F163C" w:rsidRDefault="003F163C" w:rsidP="00DF2097">
      <w:pPr>
        <w:rPr>
          <w:b/>
        </w:rPr>
      </w:pPr>
    </w:p>
    <w:p w:rsidR="003F163C" w:rsidRDefault="003F163C">
      <w:pPr>
        <w:jc w:val="left"/>
        <w:rPr>
          <w:rFonts w:eastAsiaTheme="majorEastAsia" w:cstheme="majorBidi"/>
          <w:b/>
          <w:bCs/>
          <w:i/>
          <w:iCs/>
          <w:color w:val="000000" w:themeColor="text1"/>
        </w:rPr>
      </w:pPr>
      <w:r>
        <w:br w:type="page"/>
      </w:r>
    </w:p>
    <w:p w:rsidR="002E489A" w:rsidRPr="00DF2097" w:rsidRDefault="00D21714" w:rsidP="00B01171">
      <w:pPr>
        <w:pStyle w:val="Titre4"/>
        <w:numPr>
          <w:ilvl w:val="0"/>
          <w:numId w:val="27"/>
        </w:numPr>
      </w:pPr>
      <w:r w:rsidRPr="00DF2097">
        <w:lastRenderedPageBreak/>
        <w:t>La charge de la dette</w:t>
      </w:r>
    </w:p>
    <w:p w:rsidR="002E489A" w:rsidRDefault="002E489A" w:rsidP="00DF2097">
      <w:pPr>
        <w:rPr>
          <w:b/>
        </w:rPr>
      </w:pPr>
    </w:p>
    <w:tbl>
      <w:tblPr>
        <w:tblW w:w="9709" w:type="dxa"/>
        <w:tblInd w:w="55" w:type="dxa"/>
        <w:tblCellMar>
          <w:left w:w="70" w:type="dxa"/>
          <w:right w:w="70" w:type="dxa"/>
        </w:tblCellMar>
        <w:tblLook w:val="04A0" w:firstRow="1" w:lastRow="0" w:firstColumn="1" w:lastColumn="0" w:noHBand="0" w:noVBand="1"/>
      </w:tblPr>
      <w:tblGrid>
        <w:gridCol w:w="5669"/>
        <w:gridCol w:w="2020"/>
        <w:gridCol w:w="2020"/>
      </w:tblGrid>
      <w:tr w:rsidR="00456135" w:rsidRPr="00456135" w:rsidTr="00E86007">
        <w:trPr>
          <w:trHeight w:val="255"/>
        </w:trPr>
        <w:tc>
          <w:tcPr>
            <w:tcW w:w="5669" w:type="dxa"/>
            <w:tcBorders>
              <w:top w:val="single" w:sz="8" w:space="0" w:color="auto"/>
              <w:left w:val="single" w:sz="8" w:space="0" w:color="auto"/>
              <w:bottom w:val="nil"/>
              <w:right w:val="nil"/>
            </w:tcBorders>
            <w:shd w:val="clear" w:color="000000" w:fill="1F497D"/>
            <w:noWrap/>
            <w:vAlign w:val="center"/>
            <w:hideMark/>
          </w:tcPr>
          <w:p w:rsidR="00456135" w:rsidRPr="00456135" w:rsidRDefault="00456135" w:rsidP="00456135">
            <w:pPr>
              <w:spacing w:line="240" w:lineRule="auto"/>
              <w:jc w:val="left"/>
              <w:rPr>
                <w:rFonts w:eastAsia="Times New Roman" w:cs="Arial"/>
                <w:b/>
                <w:bCs/>
                <w:color w:val="FFFFFF"/>
                <w:sz w:val="18"/>
                <w:szCs w:val="18"/>
                <w:lang w:eastAsia="fr-FR"/>
              </w:rPr>
            </w:pPr>
            <w:r w:rsidRPr="00456135">
              <w:rPr>
                <w:rFonts w:eastAsia="Times New Roman" w:cs="Arial"/>
                <w:b/>
                <w:bCs/>
                <w:color w:val="FFFFFF"/>
                <w:sz w:val="18"/>
                <w:szCs w:val="18"/>
                <w:lang w:eastAsia="fr-FR"/>
              </w:rPr>
              <w:t>PROGRAMME</w:t>
            </w:r>
          </w:p>
        </w:tc>
        <w:tc>
          <w:tcPr>
            <w:tcW w:w="2020" w:type="dxa"/>
            <w:tcBorders>
              <w:top w:val="single" w:sz="8" w:space="0" w:color="auto"/>
              <w:left w:val="nil"/>
              <w:bottom w:val="nil"/>
              <w:right w:val="nil"/>
            </w:tcBorders>
            <w:shd w:val="clear" w:color="000000" w:fill="1F497D"/>
            <w:vAlign w:val="center"/>
            <w:hideMark/>
          </w:tcPr>
          <w:p w:rsidR="00456135" w:rsidRPr="00456135" w:rsidRDefault="00456135" w:rsidP="00456135">
            <w:pPr>
              <w:spacing w:line="240" w:lineRule="auto"/>
              <w:jc w:val="center"/>
              <w:rPr>
                <w:rFonts w:eastAsia="Times New Roman" w:cs="Arial"/>
                <w:b/>
                <w:bCs/>
                <w:color w:val="FFFFFF"/>
                <w:sz w:val="18"/>
                <w:szCs w:val="18"/>
                <w:lang w:eastAsia="fr-FR"/>
              </w:rPr>
            </w:pPr>
            <w:r w:rsidRPr="00456135">
              <w:rPr>
                <w:rFonts w:eastAsia="Times New Roman" w:cs="Arial"/>
                <w:b/>
                <w:bCs/>
                <w:color w:val="FFFFFF"/>
                <w:sz w:val="18"/>
                <w:szCs w:val="18"/>
                <w:lang w:eastAsia="fr-FR"/>
              </w:rPr>
              <w:t>CA 2016</w:t>
            </w:r>
          </w:p>
        </w:tc>
        <w:tc>
          <w:tcPr>
            <w:tcW w:w="2020" w:type="dxa"/>
            <w:tcBorders>
              <w:top w:val="single" w:sz="8" w:space="0" w:color="auto"/>
              <w:left w:val="nil"/>
              <w:bottom w:val="nil"/>
              <w:right w:val="single" w:sz="8" w:space="0" w:color="auto"/>
            </w:tcBorders>
            <w:shd w:val="clear" w:color="000000" w:fill="1F497D"/>
            <w:noWrap/>
            <w:vAlign w:val="center"/>
            <w:hideMark/>
          </w:tcPr>
          <w:p w:rsidR="00456135" w:rsidRPr="00456135" w:rsidRDefault="00456135" w:rsidP="00456135">
            <w:pPr>
              <w:spacing w:line="240" w:lineRule="auto"/>
              <w:jc w:val="center"/>
              <w:rPr>
                <w:rFonts w:eastAsia="Times New Roman" w:cs="Arial"/>
                <w:b/>
                <w:bCs/>
                <w:color w:val="FFFFFF"/>
                <w:sz w:val="18"/>
                <w:szCs w:val="18"/>
                <w:lang w:eastAsia="fr-FR"/>
              </w:rPr>
            </w:pPr>
            <w:r w:rsidRPr="00456135">
              <w:rPr>
                <w:rFonts w:eastAsia="Times New Roman" w:cs="Arial"/>
                <w:b/>
                <w:bCs/>
                <w:color w:val="FFFFFF"/>
                <w:sz w:val="18"/>
                <w:szCs w:val="18"/>
                <w:lang w:eastAsia="fr-FR"/>
              </w:rPr>
              <w:t>CA 2017</w:t>
            </w:r>
          </w:p>
        </w:tc>
      </w:tr>
      <w:tr w:rsidR="00456135" w:rsidRPr="00456135" w:rsidTr="00E86007">
        <w:trPr>
          <w:trHeight w:val="270"/>
        </w:trPr>
        <w:tc>
          <w:tcPr>
            <w:tcW w:w="5669" w:type="dxa"/>
            <w:tcBorders>
              <w:top w:val="nil"/>
              <w:left w:val="single" w:sz="8" w:space="0" w:color="auto"/>
              <w:bottom w:val="single" w:sz="8" w:space="0" w:color="auto"/>
              <w:right w:val="nil"/>
            </w:tcBorders>
            <w:shd w:val="clear" w:color="auto" w:fill="auto"/>
            <w:noWrap/>
            <w:vAlign w:val="center"/>
            <w:hideMark/>
          </w:tcPr>
          <w:p w:rsidR="00456135" w:rsidRPr="00456135" w:rsidRDefault="00456135" w:rsidP="00456135">
            <w:pPr>
              <w:spacing w:line="240" w:lineRule="auto"/>
              <w:jc w:val="left"/>
              <w:rPr>
                <w:rFonts w:eastAsia="Times New Roman" w:cs="Arial"/>
                <w:sz w:val="18"/>
                <w:szCs w:val="18"/>
                <w:lang w:eastAsia="fr-FR"/>
              </w:rPr>
            </w:pPr>
            <w:r w:rsidRPr="00456135">
              <w:rPr>
                <w:rFonts w:eastAsia="Times New Roman" w:cs="Arial"/>
                <w:sz w:val="18"/>
                <w:szCs w:val="18"/>
                <w:lang w:eastAsia="fr-FR"/>
              </w:rPr>
              <w:t>0211209 -  GESTION ACTIVE DE LA DETTE BAPA</w:t>
            </w:r>
          </w:p>
        </w:tc>
        <w:tc>
          <w:tcPr>
            <w:tcW w:w="2020" w:type="dxa"/>
            <w:tcBorders>
              <w:top w:val="nil"/>
              <w:left w:val="nil"/>
              <w:bottom w:val="single" w:sz="8" w:space="0" w:color="auto"/>
              <w:right w:val="nil"/>
            </w:tcBorders>
            <w:shd w:val="clear" w:color="auto" w:fill="auto"/>
            <w:vAlign w:val="center"/>
            <w:hideMark/>
          </w:tcPr>
          <w:p w:rsidR="00456135" w:rsidRPr="00456135" w:rsidRDefault="00456135" w:rsidP="00456135">
            <w:pPr>
              <w:spacing w:line="240" w:lineRule="auto"/>
              <w:jc w:val="right"/>
              <w:rPr>
                <w:rFonts w:eastAsia="Times New Roman" w:cs="Arial"/>
                <w:sz w:val="18"/>
                <w:szCs w:val="18"/>
                <w:lang w:eastAsia="fr-FR"/>
              </w:rPr>
            </w:pPr>
            <w:r w:rsidRPr="00456135">
              <w:rPr>
                <w:rFonts w:eastAsia="Times New Roman" w:cs="Arial"/>
                <w:sz w:val="18"/>
                <w:szCs w:val="18"/>
                <w:lang w:eastAsia="fr-FR"/>
              </w:rPr>
              <w:t>128 396,01 €</w:t>
            </w:r>
          </w:p>
        </w:tc>
        <w:tc>
          <w:tcPr>
            <w:tcW w:w="2020" w:type="dxa"/>
            <w:tcBorders>
              <w:top w:val="nil"/>
              <w:left w:val="nil"/>
              <w:bottom w:val="single" w:sz="8" w:space="0" w:color="auto"/>
              <w:right w:val="single" w:sz="8" w:space="0" w:color="auto"/>
            </w:tcBorders>
            <w:shd w:val="clear" w:color="auto" w:fill="auto"/>
            <w:vAlign w:val="center"/>
            <w:hideMark/>
          </w:tcPr>
          <w:p w:rsidR="00456135" w:rsidRPr="00456135" w:rsidRDefault="00456135" w:rsidP="00456135">
            <w:pPr>
              <w:spacing w:line="240" w:lineRule="auto"/>
              <w:jc w:val="right"/>
              <w:rPr>
                <w:rFonts w:eastAsia="Times New Roman" w:cs="Arial"/>
                <w:sz w:val="18"/>
                <w:szCs w:val="18"/>
                <w:lang w:eastAsia="fr-FR"/>
              </w:rPr>
            </w:pPr>
            <w:r w:rsidRPr="00456135">
              <w:rPr>
                <w:rFonts w:eastAsia="Times New Roman" w:cs="Arial"/>
                <w:sz w:val="18"/>
                <w:szCs w:val="18"/>
                <w:lang w:eastAsia="fr-FR"/>
              </w:rPr>
              <w:t>175 336,75 €</w:t>
            </w:r>
          </w:p>
        </w:tc>
      </w:tr>
    </w:tbl>
    <w:p w:rsidR="002E489A" w:rsidRPr="007541CB" w:rsidRDefault="002E489A" w:rsidP="00DF2097">
      <w:pPr>
        <w:rPr>
          <w:b/>
        </w:rPr>
      </w:pPr>
    </w:p>
    <w:p w:rsidR="00D21714" w:rsidRDefault="00272173" w:rsidP="00DF2097">
      <w:r w:rsidRPr="00DF2097">
        <w:t>Le programme gestion active de la dette retrace</w:t>
      </w:r>
      <w:r w:rsidR="008F4D6B">
        <w:t xml:space="preserve"> </w:t>
      </w:r>
      <w:r w:rsidRPr="00DF2097">
        <w:t xml:space="preserve"> les crédits correspondant aux frais bancaires et charges d’intérêt de l’emprunt d’équilibre du budget annexe hors les écritures spécifiquement liées à la ZAC des Lilas. </w:t>
      </w:r>
      <w:r w:rsidR="00DF2097" w:rsidRPr="00DF2097">
        <w:t>La croissance des dépenses d’investissement sur ce budget, et son corollaire</w:t>
      </w:r>
      <w:r w:rsidR="008F4D6B">
        <w:t>,</w:t>
      </w:r>
      <w:r w:rsidR="00DF2097" w:rsidRPr="00DF2097">
        <w:t xml:space="preserve"> la hausse de l’emprunt</w:t>
      </w:r>
      <w:r w:rsidR="008F4D6B">
        <w:t>,</w:t>
      </w:r>
      <w:r w:rsidR="00DF2097" w:rsidRPr="00DF2097">
        <w:t xml:space="preserve"> engendre une augmentation des frais financiers sur ce budget</w:t>
      </w:r>
      <w:r w:rsidR="0012293F" w:rsidRPr="00DF2097">
        <w:t>.</w:t>
      </w:r>
      <w:r w:rsidR="0012293F">
        <w:t xml:space="preserve"> </w:t>
      </w:r>
    </w:p>
    <w:p w:rsidR="003F163C" w:rsidRDefault="003F163C" w:rsidP="00DF2097"/>
    <w:p w:rsidR="00BA39CE" w:rsidRDefault="00BA39CE" w:rsidP="00902FEA">
      <w:pPr>
        <w:pStyle w:val="Titre2"/>
      </w:pPr>
      <w:bookmarkStart w:id="103" w:name="_Toc509490452"/>
      <w:r>
        <w:t>L’investissement</w:t>
      </w:r>
      <w:r w:rsidR="0012293F">
        <w:t xml:space="preserve"> (hors ZAC des Lilas)</w:t>
      </w:r>
      <w:bookmarkEnd w:id="103"/>
    </w:p>
    <w:p w:rsidR="00DF2097" w:rsidRPr="00C45034" w:rsidRDefault="00DF2097" w:rsidP="00DF2097">
      <w:pPr>
        <w:rPr>
          <w:sz w:val="6"/>
        </w:rPr>
      </w:pPr>
    </w:p>
    <w:p w:rsidR="00BA39CE" w:rsidRDefault="00BA39CE" w:rsidP="009E6A42">
      <w:pPr>
        <w:pStyle w:val="Titre3"/>
        <w:numPr>
          <w:ilvl w:val="0"/>
          <w:numId w:val="10"/>
        </w:numPr>
      </w:pPr>
      <w:bookmarkStart w:id="104" w:name="_Toc509490453"/>
      <w:r w:rsidRPr="00BA39CE">
        <w:t>Les</w:t>
      </w:r>
      <w:r>
        <w:t xml:space="preserve"> recettes d’investissement</w:t>
      </w:r>
      <w:bookmarkEnd w:id="104"/>
    </w:p>
    <w:p w:rsidR="00914E50" w:rsidRPr="00B05B16" w:rsidRDefault="00914E50" w:rsidP="00BA39CE">
      <w:pPr>
        <w:rPr>
          <w:b/>
          <w:sz w:val="12"/>
        </w:rPr>
      </w:pPr>
    </w:p>
    <w:p w:rsidR="00BA39CE" w:rsidRDefault="00BA39CE" w:rsidP="00B01171">
      <w:pPr>
        <w:pStyle w:val="Titre4"/>
        <w:numPr>
          <w:ilvl w:val="0"/>
          <w:numId w:val="11"/>
        </w:numPr>
      </w:pPr>
      <w:r>
        <w:t xml:space="preserve">Le cofinancement des villes </w:t>
      </w:r>
      <w:r w:rsidR="000567F0">
        <w:t>et autres subventions d’investissement</w:t>
      </w:r>
    </w:p>
    <w:p w:rsidR="00BA39CE" w:rsidRDefault="00BA39CE" w:rsidP="00BA39CE"/>
    <w:tbl>
      <w:tblPr>
        <w:tblW w:w="9520" w:type="dxa"/>
        <w:tblInd w:w="55" w:type="dxa"/>
        <w:tblCellMar>
          <w:left w:w="70" w:type="dxa"/>
          <w:right w:w="70" w:type="dxa"/>
        </w:tblCellMar>
        <w:tblLook w:val="04A0" w:firstRow="1" w:lastRow="0" w:firstColumn="1" w:lastColumn="0" w:noHBand="0" w:noVBand="1"/>
      </w:tblPr>
      <w:tblGrid>
        <w:gridCol w:w="5480"/>
        <w:gridCol w:w="2020"/>
        <w:gridCol w:w="2020"/>
      </w:tblGrid>
      <w:tr w:rsidR="00456135" w:rsidRPr="00456135" w:rsidTr="00456135">
        <w:trPr>
          <w:trHeight w:val="255"/>
        </w:trPr>
        <w:tc>
          <w:tcPr>
            <w:tcW w:w="5480" w:type="dxa"/>
            <w:tcBorders>
              <w:top w:val="single" w:sz="8" w:space="0" w:color="auto"/>
              <w:left w:val="single" w:sz="8" w:space="0" w:color="auto"/>
              <w:bottom w:val="nil"/>
              <w:right w:val="nil"/>
            </w:tcBorders>
            <w:shd w:val="clear" w:color="000000" w:fill="CE013C"/>
            <w:noWrap/>
            <w:vAlign w:val="center"/>
            <w:hideMark/>
          </w:tcPr>
          <w:p w:rsidR="00456135" w:rsidRPr="00456135" w:rsidRDefault="00456135" w:rsidP="00456135">
            <w:pPr>
              <w:spacing w:line="240" w:lineRule="auto"/>
              <w:jc w:val="left"/>
              <w:rPr>
                <w:rFonts w:eastAsia="Times New Roman" w:cs="Arial"/>
                <w:b/>
                <w:bCs/>
                <w:color w:val="FFFFFF"/>
                <w:sz w:val="18"/>
                <w:szCs w:val="18"/>
                <w:lang w:eastAsia="fr-FR"/>
              </w:rPr>
            </w:pPr>
            <w:r w:rsidRPr="00456135">
              <w:rPr>
                <w:rFonts w:eastAsia="Times New Roman" w:cs="Arial"/>
                <w:b/>
                <w:bCs/>
                <w:color w:val="FFFFFF"/>
                <w:sz w:val="18"/>
                <w:szCs w:val="18"/>
                <w:lang w:eastAsia="fr-FR"/>
              </w:rPr>
              <w:t>PROGRAMME</w:t>
            </w:r>
          </w:p>
        </w:tc>
        <w:tc>
          <w:tcPr>
            <w:tcW w:w="2020" w:type="dxa"/>
            <w:tcBorders>
              <w:top w:val="single" w:sz="8" w:space="0" w:color="auto"/>
              <w:left w:val="nil"/>
              <w:bottom w:val="nil"/>
              <w:right w:val="nil"/>
            </w:tcBorders>
            <w:shd w:val="clear" w:color="000000" w:fill="CE013C"/>
            <w:vAlign w:val="center"/>
            <w:hideMark/>
          </w:tcPr>
          <w:p w:rsidR="00456135" w:rsidRPr="00456135" w:rsidRDefault="00456135" w:rsidP="00456135">
            <w:pPr>
              <w:spacing w:line="240" w:lineRule="auto"/>
              <w:jc w:val="center"/>
              <w:rPr>
                <w:rFonts w:eastAsia="Times New Roman" w:cs="Arial"/>
                <w:b/>
                <w:bCs/>
                <w:color w:val="FFFFFF"/>
                <w:sz w:val="18"/>
                <w:szCs w:val="18"/>
                <w:lang w:eastAsia="fr-FR"/>
              </w:rPr>
            </w:pPr>
            <w:r w:rsidRPr="00456135">
              <w:rPr>
                <w:rFonts w:eastAsia="Times New Roman" w:cs="Arial"/>
                <w:b/>
                <w:bCs/>
                <w:color w:val="FFFFFF"/>
                <w:sz w:val="18"/>
                <w:szCs w:val="18"/>
                <w:lang w:eastAsia="fr-FR"/>
              </w:rPr>
              <w:t>CA 2016</w:t>
            </w:r>
          </w:p>
        </w:tc>
        <w:tc>
          <w:tcPr>
            <w:tcW w:w="2020" w:type="dxa"/>
            <w:tcBorders>
              <w:top w:val="single" w:sz="8" w:space="0" w:color="auto"/>
              <w:left w:val="nil"/>
              <w:bottom w:val="nil"/>
              <w:right w:val="single" w:sz="8" w:space="0" w:color="auto"/>
            </w:tcBorders>
            <w:shd w:val="clear" w:color="000000" w:fill="CE013C"/>
            <w:noWrap/>
            <w:vAlign w:val="center"/>
            <w:hideMark/>
          </w:tcPr>
          <w:p w:rsidR="00456135" w:rsidRPr="00456135" w:rsidRDefault="00456135" w:rsidP="00456135">
            <w:pPr>
              <w:spacing w:line="240" w:lineRule="auto"/>
              <w:jc w:val="center"/>
              <w:rPr>
                <w:rFonts w:eastAsia="Times New Roman" w:cs="Arial"/>
                <w:b/>
                <w:bCs/>
                <w:color w:val="FFFFFF"/>
                <w:sz w:val="18"/>
                <w:szCs w:val="18"/>
                <w:lang w:eastAsia="fr-FR"/>
              </w:rPr>
            </w:pPr>
            <w:r w:rsidRPr="00456135">
              <w:rPr>
                <w:rFonts w:eastAsia="Times New Roman" w:cs="Arial"/>
                <w:b/>
                <w:bCs/>
                <w:color w:val="FFFFFF"/>
                <w:sz w:val="18"/>
                <w:szCs w:val="18"/>
                <w:lang w:eastAsia="fr-FR"/>
              </w:rPr>
              <w:t>CA 2017</w:t>
            </w:r>
          </w:p>
        </w:tc>
      </w:tr>
      <w:tr w:rsidR="00456135" w:rsidRPr="00456135" w:rsidTr="00456135">
        <w:trPr>
          <w:trHeight w:val="255"/>
        </w:trPr>
        <w:tc>
          <w:tcPr>
            <w:tcW w:w="5480" w:type="dxa"/>
            <w:tcBorders>
              <w:top w:val="nil"/>
              <w:left w:val="single" w:sz="8" w:space="0" w:color="auto"/>
              <w:bottom w:val="nil"/>
              <w:right w:val="nil"/>
            </w:tcBorders>
            <w:shd w:val="clear" w:color="auto" w:fill="auto"/>
            <w:noWrap/>
            <w:vAlign w:val="center"/>
            <w:hideMark/>
          </w:tcPr>
          <w:p w:rsidR="00456135" w:rsidRPr="00456135" w:rsidRDefault="00456135" w:rsidP="00456135">
            <w:pPr>
              <w:spacing w:line="240" w:lineRule="auto"/>
              <w:jc w:val="left"/>
              <w:rPr>
                <w:rFonts w:eastAsia="Times New Roman" w:cs="Arial"/>
                <w:sz w:val="18"/>
                <w:szCs w:val="18"/>
                <w:lang w:eastAsia="fr-FR"/>
              </w:rPr>
            </w:pPr>
            <w:r w:rsidRPr="00456135">
              <w:rPr>
                <w:rFonts w:eastAsia="Times New Roman" w:cs="Arial"/>
                <w:sz w:val="18"/>
                <w:szCs w:val="18"/>
                <w:lang w:eastAsia="fr-FR"/>
              </w:rPr>
              <w:t>ZAC ECOCITE BOBIGNY</w:t>
            </w:r>
          </w:p>
        </w:tc>
        <w:tc>
          <w:tcPr>
            <w:tcW w:w="2020" w:type="dxa"/>
            <w:tcBorders>
              <w:top w:val="nil"/>
              <w:left w:val="nil"/>
              <w:bottom w:val="nil"/>
              <w:right w:val="nil"/>
            </w:tcBorders>
            <w:shd w:val="clear" w:color="auto" w:fill="auto"/>
            <w:vAlign w:val="center"/>
            <w:hideMark/>
          </w:tcPr>
          <w:p w:rsidR="00456135" w:rsidRPr="00456135" w:rsidRDefault="00456135" w:rsidP="00456135">
            <w:pPr>
              <w:spacing w:line="240" w:lineRule="auto"/>
              <w:jc w:val="right"/>
              <w:rPr>
                <w:rFonts w:eastAsia="Times New Roman" w:cs="Arial"/>
                <w:sz w:val="18"/>
                <w:szCs w:val="18"/>
                <w:lang w:eastAsia="fr-FR"/>
              </w:rPr>
            </w:pPr>
            <w:r w:rsidRPr="00456135">
              <w:rPr>
                <w:rFonts w:eastAsia="Times New Roman" w:cs="Arial"/>
                <w:sz w:val="18"/>
                <w:szCs w:val="18"/>
                <w:lang w:eastAsia="fr-FR"/>
              </w:rPr>
              <w:t>514 800,00 €</w:t>
            </w:r>
          </w:p>
        </w:tc>
        <w:tc>
          <w:tcPr>
            <w:tcW w:w="2020" w:type="dxa"/>
            <w:tcBorders>
              <w:top w:val="nil"/>
              <w:left w:val="nil"/>
              <w:bottom w:val="nil"/>
              <w:right w:val="single" w:sz="8" w:space="0" w:color="auto"/>
            </w:tcBorders>
            <w:shd w:val="clear" w:color="auto" w:fill="auto"/>
            <w:vAlign w:val="center"/>
            <w:hideMark/>
          </w:tcPr>
          <w:p w:rsidR="00456135" w:rsidRPr="00456135" w:rsidRDefault="00456135" w:rsidP="00456135">
            <w:pPr>
              <w:spacing w:line="240" w:lineRule="auto"/>
              <w:jc w:val="right"/>
              <w:rPr>
                <w:rFonts w:eastAsia="Times New Roman" w:cs="Arial"/>
                <w:sz w:val="18"/>
                <w:szCs w:val="18"/>
                <w:lang w:eastAsia="fr-FR"/>
              </w:rPr>
            </w:pPr>
            <w:r w:rsidRPr="00456135">
              <w:rPr>
                <w:rFonts w:eastAsia="Times New Roman" w:cs="Arial"/>
                <w:sz w:val="18"/>
                <w:szCs w:val="18"/>
                <w:lang w:eastAsia="fr-FR"/>
              </w:rPr>
              <w:t>514 800,00 €</w:t>
            </w:r>
          </w:p>
        </w:tc>
      </w:tr>
      <w:tr w:rsidR="00456135" w:rsidRPr="00456135" w:rsidTr="00456135">
        <w:trPr>
          <w:trHeight w:val="255"/>
        </w:trPr>
        <w:tc>
          <w:tcPr>
            <w:tcW w:w="5480" w:type="dxa"/>
            <w:tcBorders>
              <w:top w:val="nil"/>
              <w:left w:val="single" w:sz="8" w:space="0" w:color="auto"/>
              <w:bottom w:val="nil"/>
              <w:right w:val="nil"/>
            </w:tcBorders>
            <w:shd w:val="clear" w:color="auto" w:fill="auto"/>
            <w:noWrap/>
            <w:vAlign w:val="center"/>
            <w:hideMark/>
          </w:tcPr>
          <w:p w:rsidR="00456135" w:rsidRPr="00456135" w:rsidRDefault="00456135" w:rsidP="00456135">
            <w:pPr>
              <w:spacing w:line="240" w:lineRule="auto"/>
              <w:jc w:val="left"/>
              <w:rPr>
                <w:rFonts w:eastAsia="Times New Roman" w:cs="Arial"/>
                <w:sz w:val="18"/>
                <w:szCs w:val="18"/>
                <w:lang w:eastAsia="fr-FR"/>
              </w:rPr>
            </w:pPr>
            <w:r w:rsidRPr="00456135">
              <w:rPr>
                <w:rFonts w:eastAsia="Times New Roman" w:cs="Arial"/>
                <w:sz w:val="18"/>
                <w:szCs w:val="18"/>
                <w:lang w:eastAsia="fr-FR"/>
              </w:rPr>
              <w:t>ZAC BOISSIERE MONTREUIL</w:t>
            </w:r>
          </w:p>
        </w:tc>
        <w:tc>
          <w:tcPr>
            <w:tcW w:w="2020" w:type="dxa"/>
            <w:tcBorders>
              <w:top w:val="nil"/>
              <w:left w:val="nil"/>
              <w:bottom w:val="nil"/>
              <w:right w:val="nil"/>
            </w:tcBorders>
            <w:shd w:val="clear" w:color="auto" w:fill="auto"/>
            <w:vAlign w:val="center"/>
            <w:hideMark/>
          </w:tcPr>
          <w:p w:rsidR="00456135" w:rsidRPr="00456135" w:rsidRDefault="00456135" w:rsidP="00456135">
            <w:pPr>
              <w:spacing w:line="240" w:lineRule="auto"/>
              <w:jc w:val="right"/>
              <w:rPr>
                <w:rFonts w:eastAsia="Times New Roman" w:cs="Arial"/>
                <w:sz w:val="18"/>
                <w:szCs w:val="18"/>
                <w:lang w:eastAsia="fr-FR"/>
              </w:rPr>
            </w:pPr>
          </w:p>
        </w:tc>
        <w:tc>
          <w:tcPr>
            <w:tcW w:w="2020" w:type="dxa"/>
            <w:tcBorders>
              <w:top w:val="nil"/>
              <w:left w:val="nil"/>
              <w:bottom w:val="nil"/>
              <w:right w:val="single" w:sz="8" w:space="0" w:color="auto"/>
            </w:tcBorders>
            <w:shd w:val="clear" w:color="auto" w:fill="auto"/>
            <w:vAlign w:val="center"/>
            <w:hideMark/>
          </w:tcPr>
          <w:p w:rsidR="00456135" w:rsidRPr="00456135" w:rsidRDefault="00456135" w:rsidP="00456135">
            <w:pPr>
              <w:spacing w:line="240" w:lineRule="auto"/>
              <w:jc w:val="right"/>
              <w:rPr>
                <w:rFonts w:eastAsia="Times New Roman" w:cs="Arial"/>
                <w:sz w:val="18"/>
                <w:szCs w:val="18"/>
                <w:lang w:eastAsia="fr-FR"/>
              </w:rPr>
            </w:pPr>
            <w:r w:rsidRPr="00456135">
              <w:rPr>
                <w:rFonts w:eastAsia="Times New Roman" w:cs="Arial"/>
                <w:sz w:val="18"/>
                <w:szCs w:val="18"/>
                <w:lang w:eastAsia="fr-FR"/>
              </w:rPr>
              <w:t>7 350,00 €</w:t>
            </w:r>
          </w:p>
        </w:tc>
      </w:tr>
      <w:tr w:rsidR="00456135" w:rsidRPr="00456135" w:rsidTr="00456135">
        <w:trPr>
          <w:trHeight w:val="255"/>
        </w:trPr>
        <w:tc>
          <w:tcPr>
            <w:tcW w:w="5480" w:type="dxa"/>
            <w:tcBorders>
              <w:top w:val="nil"/>
              <w:left w:val="single" w:sz="8" w:space="0" w:color="auto"/>
              <w:bottom w:val="nil"/>
              <w:right w:val="nil"/>
            </w:tcBorders>
            <w:shd w:val="clear" w:color="auto" w:fill="auto"/>
            <w:noWrap/>
            <w:vAlign w:val="center"/>
            <w:hideMark/>
          </w:tcPr>
          <w:p w:rsidR="00456135" w:rsidRPr="00456135" w:rsidRDefault="00456135" w:rsidP="00456135">
            <w:pPr>
              <w:spacing w:line="240" w:lineRule="auto"/>
              <w:jc w:val="left"/>
              <w:rPr>
                <w:rFonts w:eastAsia="Times New Roman" w:cs="Arial"/>
                <w:sz w:val="18"/>
                <w:szCs w:val="18"/>
                <w:lang w:eastAsia="fr-FR"/>
              </w:rPr>
            </w:pPr>
            <w:r w:rsidRPr="00456135">
              <w:rPr>
                <w:rFonts w:eastAsia="Times New Roman" w:cs="Arial"/>
                <w:sz w:val="18"/>
                <w:szCs w:val="18"/>
                <w:lang w:eastAsia="fr-FR"/>
              </w:rPr>
              <w:t>ZAC FRATERNITE MONTREUIL</w:t>
            </w:r>
          </w:p>
        </w:tc>
        <w:tc>
          <w:tcPr>
            <w:tcW w:w="2020" w:type="dxa"/>
            <w:tcBorders>
              <w:top w:val="nil"/>
              <w:left w:val="nil"/>
              <w:bottom w:val="nil"/>
              <w:right w:val="nil"/>
            </w:tcBorders>
            <w:shd w:val="clear" w:color="auto" w:fill="auto"/>
            <w:vAlign w:val="center"/>
            <w:hideMark/>
          </w:tcPr>
          <w:p w:rsidR="00456135" w:rsidRPr="00456135" w:rsidRDefault="00456135" w:rsidP="00456135">
            <w:pPr>
              <w:spacing w:line="240" w:lineRule="auto"/>
              <w:jc w:val="right"/>
              <w:rPr>
                <w:rFonts w:eastAsia="Times New Roman" w:cs="Arial"/>
                <w:sz w:val="18"/>
                <w:szCs w:val="18"/>
                <w:lang w:eastAsia="fr-FR"/>
              </w:rPr>
            </w:pPr>
            <w:r w:rsidRPr="00456135">
              <w:rPr>
                <w:rFonts w:eastAsia="Times New Roman" w:cs="Arial"/>
                <w:sz w:val="18"/>
                <w:szCs w:val="18"/>
                <w:lang w:eastAsia="fr-FR"/>
              </w:rPr>
              <w:t>1 565 836,00 €</w:t>
            </w:r>
          </w:p>
        </w:tc>
        <w:tc>
          <w:tcPr>
            <w:tcW w:w="2020" w:type="dxa"/>
            <w:tcBorders>
              <w:top w:val="nil"/>
              <w:left w:val="nil"/>
              <w:bottom w:val="nil"/>
              <w:right w:val="single" w:sz="8" w:space="0" w:color="auto"/>
            </w:tcBorders>
            <w:shd w:val="clear" w:color="auto" w:fill="auto"/>
            <w:vAlign w:val="center"/>
            <w:hideMark/>
          </w:tcPr>
          <w:p w:rsidR="00456135" w:rsidRPr="00456135" w:rsidRDefault="00456135" w:rsidP="00456135">
            <w:pPr>
              <w:spacing w:line="240" w:lineRule="auto"/>
              <w:jc w:val="right"/>
              <w:rPr>
                <w:rFonts w:eastAsia="Times New Roman" w:cs="Arial"/>
                <w:sz w:val="18"/>
                <w:szCs w:val="18"/>
                <w:lang w:eastAsia="fr-FR"/>
              </w:rPr>
            </w:pPr>
            <w:r w:rsidRPr="00456135">
              <w:rPr>
                <w:rFonts w:eastAsia="Times New Roman" w:cs="Arial"/>
                <w:sz w:val="18"/>
                <w:szCs w:val="18"/>
                <w:lang w:eastAsia="fr-FR"/>
              </w:rPr>
              <w:t>0,00 €</w:t>
            </w:r>
          </w:p>
        </w:tc>
      </w:tr>
      <w:tr w:rsidR="00456135" w:rsidRPr="00456135" w:rsidTr="00456135">
        <w:trPr>
          <w:trHeight w:val="255"/>
        </w:trPr>
        <w:tc>
          <w:tcPr>
            <w:tcW w:w="5480" w:type="dxa"/>
            <w:tcBorders>
              <w:top w:val="nil"/>
              <w:left w:val="single" w:sz="8" w:space="0" w:color="auto"/>
              <w:bottom w:val="nil"/>
              <w:right w:val="nil"/>
            </w:tcBorders>
            <w:shd w:val="clear" w:color="auto" w:fill="auto"/>
            <w:noWrap/>
            <w:vAlign w:val="center"/>
            <w:hideMark/>
          </w:tcPr>
          <w:p w:rsidR="00456135" w:rsidRPr="00456135" w:rsidRDefault="00456135" w:rsidP="00456135">
            <w:pPr>
              <w:spacing w:line="240" w:lineRule="auto"/>
              <w:jc w:val="left"/>
              <w:rPr>
                <w:rFonts w:eastAsia="Times New Roman" w:cs="Arial"/>
                <w:sz w:val="18"/>
                <w:szCs w:val="18"/>
                <w:lang w:eastAsia="fr-FR"/>
              </w:rPr>
            </w:pPr>
            <w:r w:rsidRPr="00456135">
              <w:rPr>
                <w:rFonts w:eastAsia="Times New Roman" w:cs="Arial"/>
                <w:sz w:val="18"/>
                <w:szCs w:val="18"/>
                <w:lang w:eastAsia="fr-FR"/>
              </w:rPr>
              <w:t>ZAC PORT DE PANTIN</w:t>
            </w:r>
          </w:p>
        </w:tc>
        <w:tc>
          <w:tcPr>
            <w:tcW w:w="2020" w:type="dxa"/>
            <w:tcBorders>
              <w:top w:val="nil"/>
              <w:left w:val="nil"/>
              <w:bottom w:val="nil"/>
              <w:right w:val="nil"/>
            </w:tcBorders>
            <w:shd w:val="clear" w:color="auto" w:fill="auto"/>
            <w:vAlign w:val="center"/>
            <w:hideMark/>
          </w:tcPr>
          <w:p w:rsidR="00456135" w:rsidRPr="00456135" w:rsidRDefault="00456135" w:rsidP="00456135">
            <w:pPr>
              <w:spacing w:line="240" w:lineRule="auto"/>
              <w:jc w:val="right"/>
              <w:rPr>
                <w:rFonts w:eastAsia="Times New Roman" w:cs="Arial"/>
                <w:sz w:val="18"/>
                <w:szCs w:val="18"/>
                <w:lang w:eastAsia="fr-FR"/>
              </w:rPr>
            </w:pPr>
            <w:r w:rsidRPr="00456135">
              <w:rPr>
                <w:rFonts w:eastAsia="Times New Roman" w:cs="Arial"/>
                <w:sz w:val="18"/>
                <w:szCs w:val="18"/>
                <w:lang w:eastAsia="fr-FR"/>
              </w:rPr>
              <w:t>21 778,00 €</w:t>
            </w:r>
          </w:p>
        </w:tc>
        <w:tc>
          <w:tcPr>
            <w:tcW w:w="2020" w:type="dxa"/>
            <w:tcBorders>
              <w:top w:val="nil"/>
              <w:left w:val="nil"/>
              <w:bottom w:val="nil"/>
              <w:right w:val="single" w:sz="8" w:space="0" w:color="auto"/>
            </w:tcBorders>
            <w:shd w:val="clear" w:color="auto" w:fill="auto"/>
            <w:vAlign w:val="center"/>
            <w:hideMark/>
          </w:tcPr>
          <w:p w:rsidR="00456135" w:rsidRPr="00456135" w:rsidRDefault="00456135" w:rsidP="00456135">
            <w:pPr>
              <w:spacing w:line="240" w:lineRule="auto"/>
              <w:jc w:val="right"/>
              <w:rPr>
                <w:rFonts w:eastAsia="Times New Roman" w:cs="Arial"/>
                <w:sz w:val="18"/>
                <w:szCs w:val="18"/>
                <w:lang w:eastAsia="fr-FR"/>
              </w:rPr>
            </w:pPr>
            <w:r w:rsidRPr="00456135">
              <w:rPr>
                <w:rFonts w:eastAsia="Times New Roman" w:cs="Arial"/>
                <w:sz w:val="18"/>
                <w:szCs w:val="18"/>
                <w:lang w:eastAsia="fr-FR"/>
              </w:rPr>
              <w:t>21 778,00 €</w:t>
            </w:r>
          </w:p>
        </w:tc>
      </w:tr>
      <w:tr w:rsidR="00456135" w:rsidRPr="00456135" w:rsidTr="00456135">
        <w:trPr>
          <w:trHeight w:val="255"/>
        </w:trPr>
        <w:tc>
          <w:tcPr>
            <w:tcW w:w="5480" w:type="dxa"/>
            <w:tcBorders>
              <w:top w:val="nil"/>
              <w:left w:val="single" w:sz="8" w:space="0" w:color="auto"/>
              <w:bottom w:val="nil"/>
              <w:right w:val="nil"/>
            </w:tcBorders>
            <w:shd w:val="clear" w:color="auto" w:fill="auto"/>
            <w:noWrap/>
            <w:vAlign w:val="center"/>
            <w:hideMark/>
          </w:tcPr>
          <w:p w:rsidR="00456135" w:rsidRPr="00456135" w:rsidRDefault="00456135" w:rsidP="00456135">
            <w:pPr>
              <w:spacing w:line="240" w:lineRule="auto"/>
              <w:jc w:val="left"/>
              <w:rPr>
                <w:rFonts w:eastAsia="Times New Roman" w:cs="Arial"/>
                <w:sz w:val="18"/>
                <w:szCs w:val="18"/>
                <w:lang w:eastAsia="fr-FR"/>
              </w:rPr>
            </w:pPr>
            <w:r w:rsidRPr="00456135">
              <w:rPr>
                <w:rFonts w:eastAsia="Times New Roman" w:cs="Arial"/>
                <w:sz w:val="18"/>
                <w:szCs w:val="18"/>
                <w:lang w:eastAsia="fr-FR"/>
              </w:rPr>
              <w:t>ZAC PLAINE DE L'OURCQ NOISY</w:t>
            </w:r>
          </w:p>
        </w:tc>
        <w:tc>
          <w:tcPr>
            <w:tcW w:w="2020" w:type="dxa"/>
            <w:tcBorders>
              <w:top w:val="nil"/>
              <w:left w:val="nil"/>
              <w:bottom w:val="nil"/>
              <w:right w:val="nil"/>
            </w:tcBorders>
            <w:shd w:val="clear" w:color="auto" w:fill="auto"/>
            <w:vAlign w:val="center"/>
            <w:hideMark/>
          </w:tcPr>
          <w:p w:rsidR="00456135" w:rsidRPr="00456135" w:rsidRDefault="00456135" w:rsidP="00456135">
            <w:pPr>
              <w:spacing w:line="240" w:lineRule="auto"/>
              <w:jc w:val="right"/>
              <w:rPr>
                <w:rFonts w:eastAsia="Times New Roman" w:cs="Arial"/>
                <w:sz w:val="18"/>
                <w:szCs w:val="18"/>
                <w:lang w:eastAsia="fr-FR"/>
              </w:rPr>
            </w:pPr>
            <w:r w:rsidRPr="00456135">
              <w:rPr>
                <w:rFonts w:eastAsia="Times New Roman" w:cs="Arial"/>
                <w:sz w:val="18"/>
                <w:szCs w:val="18"/>
                <w:lang w:eastAsia="fr-FR"/>
              </w:rPr>
              <w:t>200 000,00 €</w:t>
            </w:r>
          </w:p>
        </w:tc>
        <w:tc>
          <w:tcPr>
            <w:tcW w:w="2020" w:type="dxa"/>
            <w:tcBorders>
              <w:top w:val="nil"/>
              <w:left w:val="nil"/>
              <w:bottom w:val="nil"/>
              <w:right w:val="single" w:sz="8" w:space="0" w:color="auto"/>
            </w:tcBorders>
            <w:shd w:val="clear" w:color="auto" w:fill="auto"/>
            <w:vAlign w:val="center"/>
            <w:hideMark/>
          </w:tcPr>
          <w:p w:rsidR="00456135" w:rsidRPr="00456135" w:rsidRDefault="00456135" w:rsidP="00456135">
            <w:pPr>
              <w:spacing w:line="240" w:lineRule="auto"/>
              <w:jc w:val="right"/>
              <w:rPr>
                <w:rFonts w:eastAsia="Times New Roman" w:cs="Arial"/>
                <w:sz w:val="18"/>
                <w:szCs w:val="18"/>
                <w:lang w:eastAsia="fr-FR"/>
              </w:rPr>
            </w:pPr>
            <w:r w:rsidRPr="00456135">
              <w:rPr>
                <w:rFonts w:eastAsia="Times New Roman" w:cs="Arial"/>
                <w:sz w:val="18"/>
                <w:szCs w:val="18"/>
                <w:lang w:eastAsia="fr-FR"/>
              </w:rPr>
              <w:t>200 000,00 €</w:t>
            </w:r>
          </w:p>
        </w:tc>
      </w:tr>
      <w:tr w:rsidR="00456135" w:rsidRPr="00456135" w:rsidTr="00456135">
        <w:trPr>
          <w:trHeight w:val="255"/>
        </w:trPr>
        <w:tc>
          <w:tcPr>
            <w:tcW w:w="5480" w:type="dxa"/>
            <w:tcBorders>
              <w:top w:val="nil"/>
              <w:left w:val="single" w:sz="8" w:space="0" w:color="auto"/>
              <w:bottom w:val="nil"/>
              <w:right w:val="nil"/>
            </w:tcBorders>
            <w:shd w:val="clear" w:color="auto" w:fill="auto"/>
            <w:noWrap/>
            <w:vAlign w:val="center"/>
            <w:hideMark/>
          </w:tcPr>
          <w:p w:rsidR="00456135" w:rsidRPr="00456135" w:rsidRDefault="00456135" w:rsidP="00456135">
            <w:pPr>
              <w:spacing w:line="240" w:lineRule="auto"/>
              <w:jc w:val="left"/>
              <w:rPr>
                <w:rFonts w:eastAsia="Times New Roman" w:cs="Arial"/>
                <w:sz w:val="18"/>
                <w:szCs w:val="18"/>
                <w:lang w:eastAsia="fr-FR"/>
              </w:rPr>
            </w:pPr>
            <w:r w:rsidRPr="00456135">
              <w:rPr>
                <w:rFonts w:eastAsia="Times New Roman" w:cs="Arial"/>
                <w:sz w:val="18"/>
                <w:szCs w:val="18"/>
                <w:lang w:eastAsia="fr-FR"/>
              </w:rPr>
              <w:t>ZAC RIVES DE L'OURCQ BONDY</w:t>
            </w:r>
          </w:p>
        </w:tc>
        <w:tc>
          <w:tcPr>
            <w:tcW w:w="2020" w:type="dxa"/>
            <w:tcBorders>
              <w:top w:val="nil"/>
              <w:left w:val="nil"/>
              <w:bottom w:val="nil"/>
              <w:right w:val="nil"/>
            </w:tcBorders>
            <w:shd w:val="clear" w:color="auto" w:fill="auto"/>
            <w:vAlign w:val="center"/>
            <w:hideMark/>
          </w:tcPr>
          <w:p w:rsidR="00456135" w:rsidRPr="00456135" w:rsidRDefault="00456135" w:rsidP="00456135">
            <w:pPr>
              <w:spacing w:line="240" w:lineRule="auto"/>
              <w:jc w:val="right"/>
              <w:rPr>
                <w:rFonts w:eastAsia="Times New Roman" w:cs="Arial"/>
                <w:sz w:val="18"/>
                <w:szCs w:val="18"/>
                <w:lang w:eastAsia="fr-FR"/>
              </w:rPr>
            </w:pPr>
          </w:p>
        </w:tc>
        <w:tc>
          <w:tcPr>
            <w:tcW w:w="2020" w:type="dxa"/>
            <w:tcBorders>
              <w:top w:val="nil"/>
              <w:left w:val="nil"/>
              <w:bottom w:val="nil"/>
              <w:right w:val="single" w:sz="8" w:space="0" w:color="auto"/>
            </w:tcBorders>
            <w:shd w:val="clear" w:color="auto" w:fill="auto"/>
            <w:vAlign w:val="center"/>
            <w:hideMark/>
          </w:tcPr>
          <w:p w:rsidR="00456135" w:rsidRPr="00456135" w:rsidRDefault="00456135" w:rsidP="00456135">
            <w:pPr>
              <w:spacing w:line="240" w:lineRule="auto"/>
              <w:jc w:val="right"/>
              <w:rPr>
                <w:rFonts w:eastAsia="Times New Roman" w:cs="Arial"/>
                <w:sz w:val="18"/>
                <w:szCs w:val="18"/>
                <w:lang w:eastAsia="fr-FR"/>
              </w:rPr>
            </w:pPr>
            <w:r w:rsidRPr="00456135">
              <w:rPr>
                <w:rFonts w:eastAsia="Times New Roman" w:cs="Arial"/>
                <w:sz w:val="18"/>
                <w:szCs w:val="18"/>
                <w:lang w:eastAsia="fr-FR"/>
              </w:rPr>
              <w:t>200 000,00 €</w:t>
            </w:r>
          </w:p>
        </w:tc>
      </w:tr>
      <w:tr w:rsidR="00456135" w:rsidRPr="00456135" w:rsidTr="00456135">
        <w:trPr>
          <w:trHeight w:val="255"/>
        </w:trPr>
        <w:tc>
          <w:tcPr>
            <w:tcW w:w="5480" w:type="dxa"/>
            <w:tcBorders>
              <w:top w:val="nil"/>
              <w:left w:val="single" w:sz="8" w:space="0" w:color="auto"/>
              <w:bottom w:val="nil"/>
              <w:right w:val="nil"/>
            </w:tcBorders>
            <w:shd w:val="clear" w:color="auto" w:fill="auto"/>
            <w:noWrap/>
            <w:vAlign w:val="center"/>
            <w:hideMark/>
          </w:tcPr>
          <w:p w:rsidR="00456135" w:rsidRPr="00456135" w:rsidRDefault="00456135" w:rsidP="00456135">
            <w:pPr>
              <w:spacing w:line="240" w:lineRule="auto"/>
              <w:jc w:val="left"/>
              <w:rPr>
                <w:rFonts w:eastAsia="Times New Roman" w:cs="Arial"/>
                <w:sz w:val="18"/>
                <w:szCs w:val="18"/>
                <w:lang w:eastAsia="fr-FR"/>
              </w:rPr>
            </w:pPr>
            <w:r w:rsidRPr="00456135">
              <w:rPr>
                <w:rFonts w:eastAsia="Times New Roman" w:cs="Arial"/>
                <w:sz w:val="18"/>
                <w:szCs w:val="18"/>
                <w:lang w:eastAsia="fr-FR"/>
              </w:rPr>
              <w:t>ECOQUARTIER PANTIN QUATRE CHEMINS</w:t>
            </w:r>
          </w:p>
        </w:tc>
        <w:tc>
          <w:tcPr>
            <w:tcW w:w="2020" w:type="dxa"/>
            <w:tcBorders>
              <w:top w:val="nil"/>
              <w:left w:val="nil"/>
              <w:bottom w:val="nil"/>
              <w:right w:val="nil"/>
            </w:tcBorders>
            <w:shd w:val="clear" w:color="auto" w:fill="auto"/>
            <w:vAlign w:val="center"/>
            <w:hideMark/>
          </w:tcPr>
          <w:p w:rsidR="00456135" w:rsidRPr="00456135" w:rsidRDefault="00456135" w:rsidP="00456135">
            <w:pPr>
              <w:spacing w:line="240" w:lineRule="auto"/>
              <w:jc w:val="right"/>
              <w:rPr>
                <w:rFonts w:eastAsia="Times New Roman" w:cs="Arial"/>
                <w:sz w:val="18"/>
                <w:szCs w:val="18"/>
                <w:lang w:eastAsia="fr-FR"/>
              </w:rPr>
            </w:pPr>
          </w:p>
        </w:tc>
        <w:tc>
          <w:tcPr>
            <w:tcW w:w="2020" w:type="dxa"/>
            <w:tcBorders>
              <w:top w:val="nil"/>
              <w:left w:val="nil"/>
              <w:bottom w:val="nil"/>
              <w:right w:val="single" w:sz="8" w:space="0" w:color="auto"/>
            </w:tcBorders>
            <w:shd w:val="clear" w:color="auto" w:fill="auto"/>
            <w:vAlign w:val="center"/>
            <w:hideMark/>
          </w:tcPr>
          <w:p w:rsidR="00456135" w:rsidRPr="00456135" w:rsidRDefault="00456135" w:rsidP="00456135">
            <w:pPr>
              <w:spacing w:line="240" w:lineRule="auto"/>
              <w:jc w:val="right"/>
              <w:rPr>
                <w:rFonts w:eastAsia="Times New Roman" w:cs="Arial"/>
                <w:sz w:val="18"/>
                <w:szCs w:val="18"/>
                <w:lang w:eastAsia="fr-FR"/>
              </w:rPr>
            </w:pPr>
            <w:r w:rsidRPr="00456135">
              <w:rPr>
                <w:rFonts w:eastAsia="Times New Roman" w:cs="Arial"/>
                <w:sz w:val="18"/>
                <w:szCs w:val="18"/>
                <w:lang w:eastAsia="fr-FR"/>
              </w:rPr>
              <w:t>3 400,00 €</w:t>
            </w:r>
          </w:p>
        </w:tc>
      </w:tr>
      <w:tr w:rsidR="00456135" w:rsidRPr="00456135" w:rsidTr="00456135">
        <w:trPr>
          <w:trHeight w:val="270"/>
        </w:trPr>
        <w:tc>
          <w:tcPr>
            <w:tcW w:w="5480" w:type="dxa"/>
            <w:tcBorders>
              <w:top w:val="nil"/>
              <w:left w:val="single" w:sz="8" w:space="0" w:color="auto"/>
              <w:bottom w:val="single" w:sz="8" w:space="0" w:color="auto"/>
              <w:right w:val="nil"/>
            </w:tcBorders>
            <w:shd w:val="clear" w:color="000000" w:fill="BFBFBF"/>
            <w:noWrap/>
            <w:vAlign w:val="center"/>
            <w:hideMark/>
          </w:tcPr>
          <w:p w:rsidR="00456135" w:rsidRPr="00456135" w:rsidRDefault="00456135" w:rsidP="00456135">
            <w:pPr>
              <w:spacing w:line="240" w:lineRule="auto"/>
              <w:jc w:val="left"/>
              <w:rPr>
                <w:rFonts w:eastAsia="Times New Roman" w:cs="Arial"/>
                <w:b/>
                <w:bCs/>
                <w:sz w:val="18"/>
                <w:szCs w:val="18"/>
                <w:lang w:eastAsia="fr-FR"/>
              </w:rPr>
            </w:pPr>
            <w:r w:rsidRPr="00456135">
              <w:rPr>
                <w:rFonts w:eastAsia="Times New Roman" w:cs="Arial"/>
                <w:b/>
                <w:bCs/>
                <w:sz w:val="18"/>
                <w:szCs w:val="18"/>
                <w:lang w:eastAsia="fr-FR"/>
              </w:rPr>
              <w:t>Total général</w:t>
            </w:r>
          </w:p>
        </w:tc>
        <w:tc>
          <w:tcPr>
            <w:tcW w:w="2020" w:type="dxa"/>
            <w:tcBorders>
              <w:top w:val="nil"/>
              <w:left w:val="nil"/>
              <w:bottom w:val="single" w:sz="8" w:space="0" w:color="auto"/>
              <w:right w:val="nil"/>
            </w:tcBorders>
            <w:shd w:val="clear" w:color="000000" w:fill="BFBFBF"/>
            <w:vAlign w:val="center"/>
            <w:hideMark/>
          </w:tcPr>
          <w:p w:rsidR="00456135" w:rsidRPr="00456135" w:rsidRDefault="00456135" w:rsidP="00456135">
            <w:pPr>
              <w:spacing w:line="240" w:lineRule="auto"/>
              <w:jc w:val="right"/>
              <w:rPr>
                <w:rFonts w:eastAsia="Times New Roman" w:cs="Arial"/>
                <w:b/>
                <w:bCs/>
                <w:sz w:val="18"/>
                <w:szCs w:val="18"/>
                <w:lang w:eastAsia="fr-FR"/>
              </w:rPr>
            </w:pPr>
            <w:r w:rsidRPr="00456135">
              <w:rPr>
                <w:rFonts w:eastAsia="Times New Roman" w:cs="Arial"/>
                <w:b/>
                <w:bCs/>
                <w:sz w:val="18"/>
                <w:szCs w:val="18"/>
                <w:lang w:eastAsia="fr-FR"/>
              </w:rPr>
              <w:t>2 302 414,00 €</w:t>
            </w:r>
          </w:p>
        </w:tc>
        <w:tc>
          <w:tcPr>
            <w:tcW w:w="2020" w:type="dxa"/>
            <w:tcBorders>
              <w:top w:val="nil"/>
              <w:left w:val="nil"/>
              <w:bottom w:val="single" w:sz="8" w:space="0" w:color="auto"/>
              <w:right w:val="single" w:sz="8" w:space="0" w:color="auto"/>
            </w:tcBorders>
            <w:shd w:val="clear" w:color="000000" w:fill="BFBFBF"/>
            <w:vAlign w:val="center"/>
            <w:hideMark/>
          </w:tcPr>
          <w:p w:rsidR="00456135" w:rsidRPr="00456135" w:rsidRDefault="00456135" w:rsidP="00456135">
            <w:pPr>
              <w:spacing w:line="240" w:lineRule="auto"/>
              <w:jc w:val="right"/>
              <w:rPr>
                <w:rFonts w:eastAsia="Times New Roman" w:cs="Arial"/>
                <w:b/>
                <w:bCs/>
                <w:sz w:val="18"/>
                <w:szCs w:val="18"/>
                <w:lang w:eastAsia="fr-FR"/>
              </w:rPr>
            </w:pPr>
            <w:r w:rsidRPr="00456135">
              <w:rPr>
                <w:rFonts w:eastAsia="Times New Roman" w:cs="Arial"/>
                <w:b/>
                <w:bCs/>
                <w:sz w:val="18"/>
                <w:szCs w:val="18"/>
                <w:lang w:eastAsia="fr-FR"/>
              </w:rPr>
              <w:t>947 328,00 €</w:t>
            </w:r>
          </w:p>
        </w:tc>
      </w:tr>
    </w:tbl>
    <w:p w:rsidR="00C45034" w:rsidRDefault="00C45034" w:rsidP="00BA39CE"/>
    <w:p w:rsidR="00E53EE7" w:rsidRDefault="00E53EE7" w:rsidP="00BA39CE">
      <w:r>
        <w:t xml:space="preserve">Les recettes d’investissement du budget annexe </w:t>
      </w:r>
      <w:r w:rsidR="00246D40">
        <w:t>des projets d’aménagement</w:t>
      </w:r>
      <w:r>
        <w:t xml:space="preserve"> sont essentiellement constituées de participations versées par les</w:t>
      </w:r>
      <w:r w:rsidR="00246D40">
        <w:t xml:space="preserve"> Villes membres d’Est Ensemble. En 201</w:t>
      </w:r>
      <w:r w:rsidR="00456135">
        <w:t>7</w:t>
      </w:r>
      <w:r w:rsidR="00246D40">
        <w:t>, on constate</w:t>
      </w:r>
      <w:r w:rsidR="00456135">
        <w:t xml:space="preserve"> l’absence de recette de la </w:t>
      </w:r>
      <w:r w:rsidR="00E86007">
        <w:t xml:space="preserve">part de la </w:t>
      </w:r>
      <w:r w:rsidR="00456135">
        <w:t xml:space="preserve">ville de Montreuil sur l’opération de la ZAC Fraternité, la participation du </w:t>
      </w:r>
      <w:r w:rsidR="00E86007">
        <w:t>T</w:t>
      </w:r>
      <w:r w:rsidR="00456135">
        <w:t>erritoire n’ayant pas été appelée</w:t>
      </w:r>
      <w:r w:rsidR="001732D5">
        <w:t>.</w:t>
      </w:r>
    </w:p>
    <w:p w:rsidR="00246D40" w:rsidRDefault="00246D40" w:rsidP="00BA39CE"/>
    <w:p w:rsidR="00BA39CE" w:rsidRDefault="00456135" w:rsidP="00B01171">
      <w:pPr>
        <w:pStyle w:val="Titre4"/>
      </w:pPr>
      <w:r>
        <w:t>Emprunt</w:t>
      </w:r>
    </w:p>
    <w:p w:rsidR="00BA39CE" w:rsidRDefault="00BA39CE" w:rsidP="00BA39CE"/>
    <w:tbl>
      <w:tblPr>
        <w:tblW w:w="9520" w:type="dxa"/>
        <w:tblInd w:w="55" w:type="dxa"/>
        <w:tblCellMar>
          <w:left w:w="70" w:type="dxa"/>
          <w:right w:w="70" w:type="dxa"/>
        </w:tblCellMar>
        <w:tblLook w:val="04A0" w:firstRow="1" w:lastRow="0" w:firstColumn="1" w:lastColumn="0" w:noHBand="0" w:noVBand="1"/>
      </w:tblPr>
      <w:tblGrid>
        <w:gridCol w:w="5480"/>
        <w:gridCol w:w="2020"/>
        <w:gridCol w:w="2020"/>
      </w:tblGrid>
      <w:tr w:rsidR="00456135" w:rsidRPr="00456135" w:rsidTr="00456135">
        <w:trPr>
          <w:trHeight w:val="255"/>
        </w:trPr>
        <w:tc>
          <w:tcPr>
            <w:tcW w:w="5480" w:type="dxa"/>
            <w:tcBorders>
              <w:top w:val="single" w:sz="8" w:space="0" w:color="auto"/>
              <w:left w:val="single" w:sz="8" w:space="0" w:color="auto"/>
              <w:bottom w:val="nil"/>
              <w:right w:val="nil"/>
            </w:tcBorders>
            <w:shd w:val="clear" w:color="000000" w:fill="CE013C"/>
            <w:noWrap/>
            <w:vAlign w:val="center"/>
            <w:hideMark/>
          </w:tcPr>
          <w:p w:rsidR="00456135" w:rsidRPr="00456135" w:rsidRDefault="00456135" w:rsidP="00456135">
            <w:pPr>
              <w:spacing w:line="240" w:lineRule="auto"/>
              <w:jc w:val="left"/>
              <w:rPr>
                <w:rFonts w:eastAsia="Times New Roman" w:cs="Arial"/>
                <w:b/>
                <w:bCs/>
                <w:color w:val="FFFFFF"/>
                <w:sz w:val="18"/>
                <w:szCs w:val="18"/>
                <w:lang w:eastAsia="fr-FR"/>
              </w:rPr>
            </w:pPr>
            <w:r w:rsidRPr="00456135">
              <w:rPr>
                <w:rFonts w:eastAsia="Times New Roman" w:cs="Arial"/>
                <w:b/>
                <w:bCs/>
                <w:color w:val="FFFFFF"/>
                <w:sz w:val="18"/>
                <w:szCs w:val="18"/>
                <w:lang w:eastAsia="fr-FR"/>
              </w:rPr>
              <w:t>PROGRAMME</w:t>
            </w:r>
          </w:p>
        </w:tc>
        <w:tc>
          <w:tcPr>
            <w:tcW w:w="2020" w:type="dxa"/>
            <w:tcBorders>
              <w:top w:val="single" w:sz="8" w:space="0" w:color="auto"/>
              <w:left w:val="nil"/>
              <w:bottom w:val="nil"/>
              <w:right w:val="nil"/>
            </w:tcBorders>
            <w:shd w:val="clear" w:color="000000" w:fill="CE013C"/>
            <w:vAlign w:val="center"/>
            <w:hideMark/>
          </w:tcPr>
          <w:p w:rsidR="00456135" w:rsidRPr="00456135" w:rsidRDefault="00456135" w:rsidP="00456135">
            <w:pPr>
              <w:spacing w:line="240" w:lineRule="auto"/>
              <w:jc w:val="center"/>
              <w:rPr>
                <w:rFonts w:eastAsia="Times New Roman" w:cs="Arial"/>
                <w:b/>
                <w:bCs/>
                <w:color w:val="FFFFFF"/>
                <w:sz w:val="18"/>
                <w:szCs w:val="18"/>
                <w:lang w:eastAsia="fr-FR"/>
              </w:rPr>
            </w:pPr>
            <w:r w:rsidRPr="00456135">
              <w:rPr>
                <w:rFonts w:eastAsia="Times New Roman" w:cs="Arial"/>
                <w:b/>
                <w:bCs/>
                <w:color w:val="FFFFFF"/>
                <w:sz w:val="18"/>
                <w:szCs w:val="18"/>
                <w:lang w:eastAsia="fr-FR"/>
              </w:rPr>
              <w:t>CA 2016</w:t>
            </w:r>
          </w:p>
        </w:tc>
        <w:tc>
          <w:tcPr>
            <w:tcW w:w="2020" w:type="dxa"/>
            <w:tcBorders>
              <w:top w:val="single" w:sz="8" w:space="0" w:color="auto"/>
              <w:left w:val="nil"/>
              <w:bottom w:val="nil"/>
              <w:right w:val="single" w:sz="8" w:space="0" w:color="auto"/>
            </w:tcBorders>
            <w:shd w:val="clear" w:color="000000" w:fill="CE013C"/>
            <w:noWrap/>
            <w:vAlign w:val="center"/>
            <w:hideMark/>
          </w:tcPr>
          <w:p w:rsidR="00456135" w:rsidRPr="00456135" w:rsidRDefault="00456135" w:rsidP="00456135">
            <w:pPr>
              <w:spacing w:line="240" w:lineRule="auto"/>
              <w:jc w:val="center"/>
              <w:rPr>
                <w:rFonts w:eastAsia="Times New Roman" w:cs="Arial"/>
                <w:b/>
                <w:bCs/>
                <w:color w:val="FFFFFF"/>
                <w:sz w:val="18"/>
                <w:szCs w:val="18"/>
                <w:lang w:eastAsia="fr-FR"/>
              </w:rPr>
            </w:pPr>
            <w:r w:rsidRPr="00456135">
              <w:rPr>
                <w:rFonts w:eastAsia="Times New Roman" w:cs="Arial"/>
                <w:b/>
                <w:bCs/>
                <w:color w:val="FFFFFF"/>
                <w:sz w:val="18"/>
                <w:szCs w:val="18"/>
                <w:lang w:eastAsia="fr-FR"/>
              </w:rPr>
              <w:t>CA 2017</w:t>
            </w:r>
          </w:p>
        </w:tc>
      </w:tr>
      <w:tr w:rsidR="00456135" w:rsidRPr="00456135" w:rsidTr="00456135">
        <w:trPr>
          <w:trHeight w:val="255"/>
        </w:trPr>
        <w:tc>
          <w:tcPr>
            <w:tcW w:w="5480" w:type="dxa"/>
            <w:tcBorders>
              <w:top w:val="nil"/>
              <w:left w:val="single" w:sz="8" w:space="0" w:color="auto"/>
              <w:bottom w:val="nil"/>
              <w:right w:val="nil"/>
            </w:tcBorders>
            <w:shd w:val="clear" w:color="auto" w:fill="auto"/>
            <w:noWrap/>
            <w:vAlign w:val="center"/>
            <w:hideMark/>
          </w:tcPr>
          <w:p w:rsidR="00456135" w:rsidRPr="00456135" w:rsidRDefault="00456135" w:rsidP="00456135">
            <w:pPr>
              <w:spacing w:line="240" w:lineRule="auto"/>
              <w:jc w:val="left"/>
              <w:rPr>
                <w:rFonts w:eastAsia="Times New Roman" w:cs="Arial"/>
                <w:sz w:val="18"/>
                <w:szCs w:val="18"/>
                <w:lang w:eastAsia="fr-FR"/>
              </w:rPr>
            </w:pPr>
            <w:r w:rsidRPr="00456135">
              <w:rPr>
                <w:rFonts w:eastAsia="Times New Roman" w:cs="Arial"/>
                <w:sz w:val="18"/>
                <w:szCs w:val="18"/>
                <w:lang w:eastAsia="fr-FR"/>
              </w:rPr>
              <w:t>0211209001 -  CHARGE DE LA DETTE (HORS ZAC LILAS)</w:t>
            </w:r>
          </w:p>
        </w:tc>
        <w:tc>
          <w:tcPr>
            <w:tcW w:w="2020" w:type="dxa"/>
            <w:tcBorders>
              <w:top w:val="nil"/>
              <w:left w:val="nil"/>
              <w:bottom w:val="nil"/>
              <w:right w:val="nil"/>
            </w:tcBorders>
            <w:shd w:val="clear" w:color="auto" w:fill="auto"/>
            <w:vAlign w:val="center"/>
            <w:hideMark/>
          </w:tcPr>
          <w:p w:rsidR="00456135" w:rsidRPr="00456135" w:rsidRDefault="00456135" w:rsidP="00456135">
            <w:pPr>
              <w:spacing w:line="240" w:lineRule="auto"/>
              <w:jc w:val="right"/>
              <w:rPr>
                <w:rFonts w:eastAsia="Times New Roman" w:cs="Arial"/>
                <w:sz w:val="18"/>
                <w:szCs w:val="18"/>
                <w:lang w:eastAsia="fr-FR"/>
              </w:rPr>
            </w:pPr>
            <w:r w:rsidRPr="00456135">
              <w:rPr>
                <w:rFonts w:eastAsia="Times New Roman" w:cs="Arial"/>
                <w:sz w:val="18"/>
                <w:szCs w:val="18"/>
                <w:lang w:eastAsia="fr-FR"/>
              </w:rPr>
              <w:t>1 700 000,00 €</w:t>
            </w:r>
          </w:p>
        </w:tc>
        <w:tc>
          <w:tcPr>
            <w:tcW w:w="2020" w:type="dxa"/>
            <w:tcBorders>
              <w:top w:val="nil"/>
              <w:left w:val="nil"/>
              <w:bottom w:val="nil"/>
              <w:right w:val="single" w:sz="8" w:space="0" w:color="auto"/>
            </w:tcBorders>
            <w:shd w:val="clear" w:color="auto" w:fill="auto"/>
            <w:vAlign w:val="center"/>
            <w:hideMark/>
          </w:tcPr>
          <w:p w:rsidR="00456135" w:rsidRPr="00456135" w:rsidRDefault="00456135" w:rsidP="00456135">
            <w:pPr>
              <w:spacing w:line="240" w:lineRule="auto"/>
              <w:jc w:val="right"/>
              <w:rPr>
                <w:rFonts w:eastAsia="Times New Roman" w:cs="Arial"/>
                <w:sz w:val="18"/>
                <w:szCs w:val="18"/>
                <w:lang w:eastAsia="fr-FR"/>
              </w:rPr>
            </w:pPr>
            <w:r w:rsidRPr="00456135">
              <w:rPr>
                <w:rFonts w:eastAsia="Times New Roman" w:cs="Arial"/>
                <w:sz w:val="18"/>
                <w:szCs w:val="18"/>
                <w:lang w:eastAsia="fr-FR"/>
              </w:rPr>
              <w:t>10 800 000,00 €</w:t>
            </w:r>
          </w:p>
        </w:tc>
      </w:tr>
      <w:tr w:rsidR="00456135" w:rsidRPr="00456135" w:rsidTr="00456135">
        <w:trPr>
          <w:trHeight w:val="270"/>
        </w:trPr>
        <w:tc>
          <w:tcPr>
            <w:tcW w:w="5480" w:type="dxa"/>
            <w:tcBorders>
              <w:top w:val="nil"/>
              <w:left w:val="single" w:sz="8" w:space="0" w:color="auto"/>
              <w:bottom w:val="single" w:sz="8" w:space="0" w:color="auto"/>
              <w:right w:val="nil"/>
            </w:tcBorders>
            <w:shd w:val="clear" w:color="000000" w:fill="BFBFBF"/>
            <w:noWrap/>
            <w:vAlign w:val="center"/>
            <w:hideMark/>
          </w:tcPr>
          <w:p w:rsidR="00456135" w:rsidRPr="00456135" w:rsidRDefault="00456135" w:rsidP="00456135">
            <w:pPr>
              <w:spacing w:line="240" w:lineRule="auto"/>
              <w:jc w:val="left"/>
              <w:rPr>
                <w:rFonts w:eastAsia="Times New Roman" w:cs="Arial"/>
                <w:b/>
                <w:bCs/>
                <w:sz w:val="18"/>
                <w:szCs w:val="18"/>
                <w:lang w:eastAsia="fr-FR"/>
              </w:rPr>
            </w:pPr>
            <w:r w:rsidRPr="00456135">
              <w:rPr>
                <w:rFonts w:eastAsia="Times New Roman" w:cs="Arial"/>
                <w:b/>
                <w:bCs/>
                <w:sz w:val="18"/>
                <w:szCs w:val="18"/>
                <w:lang w:eastAsia="fr-FR"/>
              </w:rPr>
              <w:t>Total général</w:t>
            </w:r>
          </w:p>
        </w:tc>
        <w:tc>
          <w:tcPr>
            <w:tcW w:w="2020" w:type="dxa"/>
            <w:tcBorders>
              <w:top w:val="nil"/>
              <w:left w:val="nil"/>
              <w:bottom w:val="single" w:sz="8" w:space="0" w:color="auto"/>
              <w:right w:val="nil"/>
            </w:tcBorders>
            <w:shd w:val="clear" w:color="000000" w:fill="BFBFBF"/>
            <w:vAlign w:val="center"/>
            <w:hideMark/>
          </w:tcPr>
          <w:p w:rsidR="00456135" w:rsidRPr="00456135" w:rsidRDefault="00456135" w:rsidP="00456135">
            <w:pPr>
              <w:spacing w:line="240" w:lineRule="auto"/>
              <w:jc w:val="right"/>
              <w:rPr>
                <w:rFonts w:eastAsia="Times New Roman" w:cs="Arial"/>
                <w:b/>
                <w:bCs/>
                <w:sz w:val="18"/>
                <w:szCs w:val="18"/>
                <w:lang w:eastAsia="fr-FR"/>
              </w:rPr>
            </w:pPr>
            <w:r w:rsidRPr="00456135">
              <w:rPr>
                <w:rFonts w:eastAsia="Times New Roman" w:cs="Arial"/>
                <w:b/>
                <w:bCs/>
                <w:sz w:val="18"/>
                <w:szCs w:val="18"/>
                <w:lang w:eastAsia="fr-FR"/>
              </w:rPr>
              <w:t>1 700 000,00 €</w:t>
            </w:r>
          </w:p>
        </w:tc>
        <w:tc>
          <w:tcPr>
            <w:tcW w:w="2020" w:type="dxa"/>
            <w:tcBorders>
              <w:top w:val="nil"/>
              <w:left w:val="nil"/>
              <w:bottom w:val="single" w:sz="8" w:space="0" w:color="auto"/>
              <w:right w:val="single" w:sz="8" w:space="0" w:color="auto"/>
            </w:tcBorders>
            <w:shd w:val="clear" w:color="000000" w:fill="BFBFBF"/>
            <w:vAlign w:val="center"/>
            <w:hideMark/>
          </w:tcPr>
          <w:p w:rsidR="00456135" w:rsidRPr="00456135" w:rsidRDefault="00456135" w:rsidP="00456135">
            <w:pPr>
              <w:spacing w:line="240" w:lineRule="auto"/>
              <w:jc w:val="right"/>
              <w:rPr>
                <w:rFonts w:eastAsia="Times New Roman" w:cs="Arial"/>
                <w:b/>
                <w:bCs/>
                <w:sz w:val="18"/>
                <w:szCs w:val="18"/>
                <w:lang w:eastAsia="fr-FR"/>
              </w:rPr>
            </w:pPr>
            <w:r w:rsidRPr="00456135">
              <w:rPr>
                <w:rFonts w:eastAsia="Times New Roman" w:cs="Arial"/>
                <w:b/>
                <w:bCs/>
                <w:sz w:val="18"/>
                <w:szCs w:val="18"/>
                <w:lang w:eastAsia="fr-FR"/>
              </w:rPr>
              <w:t>10 800 000,00 €</w:t>
            </w:r>
          </w:p>
        </w:tc>
      </w:tr>
    </w:tbl>
    <w:p w:rsidR="00B05B16" w:rsidRDefault="00B05B16" w:rsidP="003E4BD4"/>
    <w:p w:rsidR="00A10AAD" w:rsidRPr="00B05B16" w:rsidRDefault="00A10AAD" w:rsidP="00B05B16">
      <w:r>
        <w:t>Cette recette correspond à l’</w:t>
      </w:r>
      <w:r w:rsidR="003E4BD4" w:rsidRPr="001105A8">
        <w:t xml:space="preserve">emprunt </w:t>
      </w:r>
      <w:r>
        <w:t xml:space="preserve">d’équilibre permettant de financer </w:t>
      </w:r>
      <w:r w:rsidR="00B05B16">
        <w:t xml:space="preserve">les </w:t>
      </w:r>
      <w:r>
        <w:t xml:space="preserve">dépenses d’investissement liées aux </w:t>
      </w:r>
      <w:r w:rsidR="00B05B16">
        <w:t>projets d’aménagement.</w:t>
      </w:r>
    </w:p>
    <w:p w:rsidR="003F163C" w:rsidRDefault="003F163C">
      <w:pPr>
        <w:jc w:val="left"/>
        <w:rPr>
          <w:rFonts w:eastAsiaTheme="majorEastAsia" w:cstheme="majorBidi"/>
          <w:bCs/>
          <w:color w:val="000000" w:themeColor="text1"/>
          <w:sz w:val="24"/>
          <w:u w:val="single"/>
        </w:rPr>
      </w:pPr>
      <w:bookmarkStart w:id="105" w:name="_Toc509490454"/>
      <w:r>
        <w:br w:type="page"/>
      </w:r>
    </w:p>
    <w:p w:rsidR="00BA39CE" w:rsidRDefault="00BA39CE" w:rsidP="00BA39CE">
      <w:pPr>
        <w:pStyle w:val="Titre3"/>
      </w:pPr>
      <w:r w:rsidRPr="00B17B58">
        <w:lastRenderedPageBreak/>
        <w:t>Les</w:t>
      </w:r>
      <w:r>
        <w:t xml:space="preserve"> dépenses d’investissement</w:t>
      </w:r>
      <w:bookmarkEnd w:id="105"/>
    </w:p>
    <w:p w:rsidR="00BB7981" w:rsidRDefault="00BB7981" w:rsidP="00BB7981"/>
    <w:p w:rsidR="00BA39CE" w:rsidRDefault="00BA39CE" w:rsidP="00B01171">
      <w:pPr>
        <w:pStyle w:val="Titre4"/>
        <w:numPr>
          <w:ilvl w:val="0"/>
          <w:numId w:val="12"/>
        </w:numPr>
      </w:pPr>
      <w:r>
        <w:t xml:space="preserve">Les participations versées aux aménageurs </w:t>
      </w:r>
      <w:r w:rsidR="00A422DA">
        <w:t>et aux villes</w:t>
      </w:r>
    </w:p>
    <w:p w:rsidR="000B1537" w:rsidRDefault="000B1537" w:rsidP="007541CB"/>
    <w:p w:rsidR="000B1537" w:rsidRDefault="00CA498D">
      <w:r>
        <w:t>L</w:t>
      </w:r>
      <w:r w:rsidR="000B1537" w:rsidRPr="00A00B37">
        <w:t xml:space="preserve">es dépenses d’investissement correspondent pour l’essentiel au versement des participations dues soit aux aménageurs </w:t>
      </w:r>
      <w:r w:rsidR="00484484">
        <w:t>(6,7</w:t>
      </w:r>
      <w:r w:rsidR="000B1537">
        <w:t xml:space="preserve"> M€),</w:t>
      </w:r>
      <w:r w:rsidR="000B1537" w:rsidRPr="00A00B37">
        <w:t xml:space="preserve"> soit aux villes</w:t>
      </w:r>
      <w:r w:rsidR="000B1537">
        <w:t xml:space="preserve"> aux fins d</w:t>
      </w:r>
      <w:r w:rsidR="00CA1EB7">
        <w:t>’un</w:t>
      </w:r>
      <w:r w:rsidR="000B1537">
        <w:t xml:space="preserve"> partage à parité du déficit p</w:t>
      </w:r>
      <w:r>
        <w:t>révisionnel à te</w:t>
      </w:r>
      <w:r w:rsidR="00484484">
        <w:t>rminaison (1,1</w:t>
      </w:r>
      <w:r w:rsidR="000B1537">
        <w:t xml:space="preserve"> M€)</w:t>
      </w:r>
      <w:r w:rsidR="000B1537" w:rsidRPr="00A00B37">
        <w:t>.</w:t>
      </w:r>
    </w:p>
    <w:p w:rsidR="000B1537" w:rsidRDefault="000B1537"/>
    <w:tbl>
      <w:tblPr>
        <w:tblW w:w="9520" w:type="dxa"/>
        <w:tblInd w:w="55" w:type="dxa"/>
        <w:tblCellMar>
          <w:left w:w="70" w:type="dxa"/>
          <w:right w:w="70" w:type="dxa"/>
        </w:tblCellMar>
        <w:tblLook w:val="04A0" w:firstRow="1" w:lastRow="0" w:firstColumn="1" w:lastColumn="0" w:noHBand="0" w:noVBand="1"/>
      </w:tblPr>
      <w:tblGrid>
        <w:gridCol w:w="6003"/>
        <w:gridCol w:w="1497"/>
        <w:gridCol w:w="2020"/>
      </w:tblGrid>
      <w:tr w:rsidR="00A10AAD" w:rsidRPr="00A10AAD" w:rsidTr="00A10AAD">
        <w:trPr>
          <w:trHeight w:val="255"/>
        </w:trPr>
        <w:tc>
          <w:tcPr>
            <w:tcW w:w="6003" w:type="dxa"/>
            <w:tcBorders>
              <w:top w:val="single" w:sz="8" w:space="0" w:color="auto"/>
              <w:left w:val="single" w:sz="8" w:space="0" w:color="auto"/>
              <w:bottom w:val="nil"/>
              <w:right w:val="nil"/>
            </w:tcBorders>
            <w:shd w:val="clear" w:color="000000" w:fill="CE013C"/>
            <w:noWrap/>
            <w:vAlign w:val="center"/>
            <w:hideMark/>
          </w:tcPr>
          <w:p w:rsidR="00A10AAD" w:rsidRPr="00A10AAD" w:rsidRDefault="00A10AAD" w:rsidP="00A10AAD">
            <w:pPr>
              <w:spacing w:line="240" w:lineRule="auto"/>
              <w:jc w:val="left"/>
              <w:rPr>
                <w:rFonts w:eastAsia="Times New Roman" w:cs="Arial"/>
                <w:b/>
                <w:bCs/>
                <w:color w:val="FFFFFF"/>
                <w:sz w:val="18"/>
                <w:szCs w:val="18"/>
                <w:lang w:eastAsia="fr-FR"/>
              </w:rPr>
            </w:pPr>
            <w:r w:rsidRPr="00A10AAD">
              <w:rPr>
                <w:rFonts w:eastAsia="Times New Roman" w:cs="Arial"/>
                <w:b/>
                <w:bCs/>
                <w:color w:val="FFFFFF"/>
                <w:sz w:val="18"/>
                <w:szCs w:val="18"/>
                <w:lang w:eastAsia="fr-FR"/>
              </w:rPr>
              <w:t>PROGRAMME</w:t>
            </w:r>
          </w:p>
        </w:tc>
        <w:tc>
          <w:tcPr>
            <w:tcW w:w="1497" w:type="dxa"/>
            <w:tcBorders>
              <w:top w:val="single" w:sz="8" w:space="0" w:color="auto"/>
              <w:left w:val="nil"/>
              <w:bottom w:val="nil"/>
              <w:right w:val="nil"/>
            </w:tcBorders>
            <w:shd w:val="clear" w:color="000000" w:fill="CE013C"/>
            <w:vAlign w:val="center"/>
            <w:hideMark/>
          </w:tcPr>
          <w:p w:rsidR="00A10AAD" w:rsidRPr="00A10AAD" w:rsidRDefault="00A10AAD" w:rsidP="00A10AAD">
            <w:pPr>
              <w:spacing w:line="240" w:lineRule="auto"/>
              <w:jc w:val="center"/>
              <w:rPr>
                <w:rFonts w:eastAsia="Times New Roman" w:cs="Arial"/>
                <w:b/>
                <w:bCs/>
                <w:color w:val="FFFFFF"/>
                <w:sz w:val="18"/>
                <w:szCs w:val="18"/>
                <w:lang w:eastAsia="fr-FR"/>
              </w:rPr>
            </w:pPr>
            <w:r w:rsidRPr="00A10AAD">
              <w:rPr>
                <w:rFonts w:eastAsia="Times New Roman" w:cs="Arial"/>
                <w:b/>
                <w:bCs/>
                <w:color w:val="FFFFFF"/>
                <w:sz w:val="18"/>
                <w:szCs w:val="18"/>
                <w:lang w:eastAsia="fr-FR"/>
              </w:rPr>
              <w:t>CA 2016</w:t>
            </w:r>
          </w:p>
        </w:tc>
        <w:tc>
          <w:tcPr>
            <w:tcW w:w="2020" w:type="dxa"/>
            <w:tcBorders>
              <w:top w:val="single" w:sz="8" w:space="0" w:color="auto"/>
              <w:left w:val="nil"/>
              <w:bottom w:val="nil"/>
              <w:right w:val="single" w:sz="8" w:space="0" w:color="auto"/>
            </w:tcBorders>
            <w:shd w:val="clear" w:color="000000" w:fill="CE013C"/>
            <w:noWrap/>
            <w:vAlign w:val="center"/>
            <w:hideMark/>
          </w:tcPr>
          <w:p w:rsidR="00A10AAD" w:rsidRPr="00A10AAD" w:rsidRDefault="00A10AAD" w:rsidP="00A10AAD">
            <w:pPr>
              <w:spacing w:line="240" w:lineRule="auto"/>
              <w:jc w:val="center"/>
              <w:rPr>
                <w:rFonts w:eastAsia="Times New Roman" w:cs="Arial"/>
                <w:b/>
                <w:bCs/>
                <w:color w:val="FFFFFF"/>
                <w:sz w:val="18"/>
                <w:szCs w:val="18"/>
                <w:lang w:eastAsia="fr-FR"/>
              </w:rPr>
            </w:pPr>
            <w:r w:rsidRPr="00A10AAD">
              <w:rPr>
                <w:rFonts w:eastAsia="Times New Roman" w:cs="Arial"/>
                <w:b/>
                <w:bCs/>
                <w:color w:val="FFFFFF"/>
                <w:sz w:val="18"/>
                <w:szCs w:val="18"/>
                <w:lang w:eastAsia="fr-FR"/>
              </w:rPr>
              <w:t>CA 2017</w:t>
            </w:r>
          </w:p>
        </w:tc>
      </w:tr>
      <w:tr w:rsidR="00A10AAD" w:rsidRPr="00A10AAD" w:rsidTr="00A10AAD">
        <w:trPr>
          <w:trHeight w:val="255"/>
        </w:trPr>
        <w:tc>
          <w:tcPr>
            <w:tcW w:w="6003" w:type="dxa"/>
            <w:tcBorders>
              <w:top w:val="nil"/>
              <w:left w:val="single" w:sz="8" w:space="0" w:color="auto"/>
              <w:bottom w:val="nil"/>
              <w:right w:val="nil"/>
            </w:tcBorders>
            <w:shd w:val="clear" w:color="auto" w:fill="auto"/>
            <w:noWrap/>
            <w:vAlign w:val="center"/>
            <w:hideMark/>
          </w:tcPr>
          <w:p w:rsidR="00A10AAD" w:rsidRPr="00A10AAD" w:rsidRDefault="00A10AAD" w:rsidP="00A10AAD">
            <w:pPr>
              <w:spacing w:line="240" w:lineRule="auto"/>
              <w:ind w:firstLineChars="100" w:firstLine="180"/>
              <w:jc w:val="left"/>
              <w:rPr>
                <w:rFonts w:eastAsia="Times New Roman" w:cs="Arial"/>
                <w:sz w:val="18"/>
                <w:szCs w:val="18"/>
                <w:lang w:eastAsia="fr-FR"/>
              </w:rPr>
            </w:pPr>
            <w:r w:rsidRPr="00A10AAD">
              <w:rPr>
                <w:rFonts w:eastAsia="Times New Roman" w:cs="Arial"/>
                <w:sz w:val="18"/>
                <w:szCs w:val="18"/>
                <w:lang w:eastAsia="fr-FR"/>
              </w:rPr>
              <w:t>9211201 - ZAC ECOCITE BOBIGNY</w:t>
            </w:r>
          </w:p>
        </w:tc>
        <w:tc>
          <w:tcPr>
            <w:tcW w:w="1497" w:type="dxa"/>
            <w:tcBorders>
              <w:top w:val="nil"/>
              <w:left w:val="nil"/>
              <w:bottom w:val="nil"/>
              <w:right w:val="nil"/>
            </w:tcBorders>
            <w:shd w:val="clear" w:color="auto" w:fill="auto"/>
            <w:vAlign w:val="center"/>
            <w:hideMark/>
          </w:tcPr>
          <w:p w:rsidR="00A10AAD" w:rsidRPr="00A10AAD" w:rsidRDefault="00A10AAD" w:rsidP="00A10AAD">
            <w:pPr>
              <w:spacing w:line="240" w:lineRule="auto"/>
              <w:jc w:val="right"/>
              <w:rPr>
                <w:rFonts w:eastAsia="Times New Roman" w:cs="Arial"/>
                <w:sz w:val="18"/>
                <w:szCs w:val="18"/>
                <w:lang w:eastAsia="fr-FR"/>
              </w:rPr>
            </w:pPr>
          </w:p>
        </w:tc>
        <w:tc>
          <w:tcPr>
            <w:tcW w:w="2020" w:type="dxa"/>
            <w:tcBorders>
              <w:top w:val="nil"/>
              <w:left w:val="nil"/>
              <w:bottom w:val="nil"/>
              <w:right w:val="single" w:sz="8" w:space="0" w:color="auto"/>
            </w:tcBorders>
            <w:shd w:val="clear" w:color="auto" w:fill="auto"/>
            <w:vAlign w:val="center"/>
            <w:hideMark/>
          </w:tcPr>
          <w:p w:rsidR="00A10AAD" w:rsidRPr="00A10AAD" w:rsidRDefault="00A10AAD" w:rsidP="00A10AAD">
            <w:pPr>
              <w:spacing w:line="240" w:lineRule="auto"/>
              <w:jc w:val="right"/>
              <w:rPr>
                <w:rFonts w:eastAsia="Times New Roman" w:cs="Arial"/>
                <w:sz w:val="18"/>
                <w:szCs w:val="18"/>
                <w:lang w:eastAsia="fr-FR"/>
              </w:rPr>
            </w:pPr>
            <w:r w:rsidRPr="00A10AAD">
              <w:rPr>
                <w:rFonts w:eastAsia="Times New Roman" w:cs="Arial"/>
                <w:sz w:val="18"/>
                <w:szCs w:val="18"/>
                <w:lang w:eastAsia="fr-FR"/>
              </w:rPr>
              <w:t xml:space="preserve">                   2 000 000,00   </w:t>
            </w:r>
          </w:p>
        </w:tc>
      </w:tr>
      <w:tr w:rsidR="00A10AAD" w:rsidRPr="00A10AAD" w:rsidTr="00A10AAD">
        <w:trPr>
          <w:trHeight w:val="255"/>
        </w:trPr>
        <w:tc>
          <w:tcPr>
            <w:tcW w:w="6003" w:type="dxa"/>
            <w:tcBorders>
              <w:top w:val="nil"/>
              <w:left w:val="single" w:sz="8" w:space="0" w:color="auto"/>
              <w:bottom w:val="nil"/>
              <w:right w:val="nil"/>
            </w:tcBorders>
            <w:shd w:val="clear" w:color="auto" w:fill="auto"/>
            <w:noWrap/>
            <w:vAlign w:val="center"/>
            <w:hideMark/>
          </w:tcPr>
          <w:p w:rsidR="00A10AAD" w:rsidRPr="00A10AAD" w:rsidRDefault="00A10AAD" w:rsidP="00A10AAD">
            <w:pPr>
              <w:spacing w:line="240" w:lineRule="auto"/>
              <w:ind w:firstLineChars="100" w:firstLine="180"/>
              <w:jc w:val="left"/>
              <w:rPr>
                <w:rFonts w:eastAsia="Times New Roman" w:cs="Arial"/>
                <w:sz w:val="18"/>
                <w:szCs w:val="18"/>
                <w:lang w:eastAsia="fr-FR"/>
              </w:rPr>
            </w:pPr>
            <w:r w:rsidRPr="00A10AAD">
              <w:rPr>
                <w:rFonts w:eastAsia="Times New Roman" w:cs="Arial"/>
                <w:sz w:val="18"/>
                <w:szCs w:val="18"/>
                <w:lang w:eastAsia="fr-FR"/>
              </w:rPr>
              <w:t>9211202 - ZAC BOISSIERE MONTREUIL</w:t>
            </w:r>
          </w:p>
        </w:tc>
        <w:tc>
          <w:tcPr>
            <w:tcW w:w="1497" w:type="dxa"/>
            <w:tcBorders>
              <w:top w:val="nil"/>
              <w:left w:val="nil"/>
              <w:bottom w:val="nil"/>
              <w:right w:val="nil"/>
            </w:tcBorders>
            <w:shd w:val="clear" w:color="auto" w:fill="auto"/>
            <w:vAlign w:val="center"/>
            <w:hideMark/>
          </w:tcPr>
          <w:p w:rsidR="00A10AAD" w:rsidRPr="00A10AAD" w:rsidRDefault="00A10AAD" w:rsidP="00A10AAD">
            <w:pPr>
              <w:spacing w:line="240" w:lineRule="auto"/>
              <w:jc w:val="right"/>
              <w:rPr>
                <w:rFonts w:eastAsia="Times New Roman" w:cs="Arial"/>
                <w:sz w:val="18"/>
                <w:szCs w:val="18"/>
                <w:lang w:eastAsia="fr-FR"/>
              </w:rPr>
            </w:pPr>
            <w:r w:rsidRPr="00A10AAD">
              <w:rPr>
                <w:rFonts w:eastAsia="Times New Roman" w:cs="Arial"/>
                <w:sz w:val="18"/>
                <w:szCs w:val="18"/>
                <w:lang w:eastAsia="fr-FR"/>
              </w:rPr>
              <w:t>25 500,00 €</w:t>
            </w:r>
          </w:p>
        </w:tc>
        <w:tc>
          <w:tcPr>
            <w:tcW w:w="2020" w:type="dxa"/>
            <w:tcBorders>
              <w:top w:val="nil"/>
              <w:left w:val="nil"/>
              <w:bottom w:val="nil"/>
              <w:right w:val="single" w:sz="8" w:space="0" w:color="auto"/>
            </w:tcBorders>
            <w:shd w:val="clear" w:color="auto" w:fill="auto"/>
            <w:vAlign w:val="center"/>
            <w:hideMark/>
          </w:tcPr>
          <w:p w:rsidR="00A10AAD" w:rsidRPr="00A10AAD" w:rsidRDefault="00A10AAD" w:rsidP="00A10AAD">
            <w:pPr>
              <w:spacing w:line="240" w:lineRule="auto"/>
              <w:jc w:val="right"/>
              <w:rPr>
                <w:rFonts w:eastAsia="Times New Roman" w:cs="Arial"/>
                <w:sz w:val="18"/>
                <w:szCs w:val="18"/>
                <w:lang w:eastAsia="fr-FR"/>
              </w:rPr>
            </w:pPr>
            <w:r w:rsidRPr="00A10AAD">
              <w:rPr>
                <w:rFonts w:eastAsia="Times New Roman" w:cs="Arial"/>
                <w:sz w:val="18"/>
                <w:szCs w:val="18"/>
                <w:lang w:eastAsia="fr-FR"/>
              </w:rPr>
              <w:t xml:space="preserve">                   1 081 286,79   </w:t>
            </w:r>
          </w:p>
        </w:tc>
      </w:tr>
      <w:tr w:rsidR="00A10AAD" w:rsidRPr="00A10AAD" w:rsidTr="00A10AAD">
        <w:trPr>
          <w:trHeight w:val="255"/>
        </w:trPr>
        <w:tc>
          <w:tcPr>
            <w:tcW w:w="6003" w:type="dxa"/>
            <w:tcBorders>
              <w:top w:val="nil"/>
              <w:left w:val="single" w:sz="8" w:space="0" w:color="auto"/>
              <w:bottom w:val="nil"/>
              <w:right w:val="nil"/>
            </w:tcBorders>
            <w:shd w:val="clear" w:color="auto" w:fill="auto"/>
            <w:noWrap/>
            <w:vAlign w:val="center"/>
            <w:hideMark/>
          </w:tcPr>
          <w:p w:rsidR="00A10AAD" w:rsidRPr="00A10AAD" w:rsidRDefault="00A10AAD" w:rsidP="00A10AAD">
            <w:pPr>
              <w:spacing w:line="240" w:lineRule="auto"/>
              <w:ind w:firstLineChars="100" w:firstLine="180"/>
              <w:jc w:val="left"/>
              <w:rPr>
                <w:rFonts w:eastAsia="Times New Roman" w:cs="Arial"/>
                <w:sz w:val="18"/>
                <w:szCs w:val="18"/>
                <w:lang w:eastAsia="fr-FR"/>
              </w:rPr>
            </w:pPr>
            <w:r w:rsidRPr="00A10AAD">
              <w:rPr>
                <w:rFonts w:eastAsia="Times New Roman" w:cs="Arial"/>
                <w:sz w:val="18"/>
                <w:szCs w:val="18"/>
                <w:lang w:eastAsia="fr-FR"/>
              </w:rPr>
              <w:t>9211203 - ZAC FRATERNITE MONTREUIL</w:t>
            </w:r>
          </w:p>
        </w:tc>
        <w:tc>
          <w:tcPr>
            <w:tcW w:w="1497" w:type="dxa"/>
            <w:tcBorders>
              <w:top w:val="nil"/>
              <w:left w:val="nil"/>
              <w:bottom w:val="nil"/>
              <w:right w:val="nil"/>
            </w:tcBorders>
            <w:shd w:val="clear" w:color="auto" w:fill="auto"/>
            <w:vAlign w:val="center"/>
            <w:hideMark/>
          </w:tcPr>
          <w:p w:rsidR="00A10AAD" w:rsidRPr="00A10AAD" w:rsidRDefault="00A10AAD" w:rsidP="00A10AAD">
            <w:pPr>
              <w:spacing w:line="240" w:lineRule="auto"/>
              <w:jc w:val="right"/>
              <w:rPr>
                <w:rFonts w:eastAsia="Times New Roman" w:cs="Arial"/>
                <w:sz w:val="18"/>
                <w:szCs w:val="18"/>
                <w:lang w:eastAsia="fr-FR"/>
              </w:rPr>
            </w:pPr>
            <w:r w:rsidRPr="00A10AAD">
              <w:rPr>
                <w:rFonts w:eastAsia="Times New Roman" w:cs="Arial"/>
                <w:sz w:val="18"/>
                <w:szCs w:val="18"/>
                <w:lang w:eastAsia="fr-FR"/>
              </w:rPr>
              <w:t>3 750 000,00 €</w:t>
            </w:r>
          </w:p>
        </w:tc>
        <w:tc>
          <w:tcPr>
            <w:tcW w:w="2020" w:type="dxa"/>
            <w:tcBorders>
              <w:top w:val="nil"/>
              <w:left w:val="nil"/>
              <w:bottom w:val="nil"/>
              <w:right w:val="single" w:sz="8" w:space="0" w:color="auto"/>
            </w:tcBorders>
            <w:shd w:val="clear" w:color="auto" w:fill="auto"/>
            <w:vAlign w:val="center"/>
            <w:hideMark/>
          </w:tcPr>
          <w:p w:rsidR="00A10AAD" w:rsidRPr="00A10AAD" w:rsidRDefault="00A10AAD" w:rsidP="00A10AAD">
            <w:pPr>
              <w:spacing w:line="240" w:lineRule="auto"/>
              <w:jc w:val="right"/>
              <w:rPr>
                <w:rFonts w:eastAsia="Times New Roman" w:cs="Arial"/>
                <w:sz w:val="18"/>
                <w:szCs w:val="18"/>
                <w:lang w:eastAsia="fr-FR"/>
              </w:rPr>
            </w:pPr>
            <w:r w:rsidRPr="00A10AAD">
              <w:rPr>
                <w:rFonts w:eastAsia="Times New Roman" w:cs="Arial"/>
                <w:sz w:val="18"/>
                <w:szCs w:val="18"/>
                <w:lang w:eastAsia="fr-FR"/>
              </w:rPr>
              <w:t> </w:t>
            </w:r>
          </w:p>
        </w:tc>
      </w:tr>
      <w:tr w:rsidR="00A10AAD" w:rsidRPr="00A10AAD" w:rsidTr="00A10AAD">
        <w:trPr>
          <w:trHeight w:val="255"/>
        </w:trPr>
        <w:tc>
          <w:tcPr>
            <w:tcW w:w="6003" w:type="dxa"/>
            <w:tcBorders>
              <w:top w:val="nil"/>
              <w:left w:val="single" w:sz="8" w:space="0" w:color="auto"/>
              <w:bottom w:val="nil"/>
              <w:right w:val="nil"/>
            </w:tcBorders>
            <w:shd w:val="clear" w:color="auto" w:fill="auto"/>
            <w:noWrap/>
            <w:vAlign w:val="center"/>
            <w:hideMark/>
          </w:tcPr>
          <w:p w:rsidR="00A10AAD" w:rsidRPr="00A10AAD" w:rsidRDefault="00A10AAD" w:rsidP="00A10AAD">
            <w:pPr>
              <w:spacing w:line="240" w:lineRule="auto"/>
              <w:ind w:firstLineChars="100" w:firstLine="180"/>
              <w:jc w:val="left"/>
              <w:rPr>
                <w:rFonts w:eastAsia="Times New Roman" w:cs="Arial"/>
                <w:sz w:val="18"/>
                <w:szCs w:val="18"/>
                <w:lang w:eastAsia="fr-FR"/>
              </w:rPr>
            </w:pPr>
            <w:r w:rsidRPr="00A10AAD">
              <w:rPr>
                <w:rFonts w:eastAsia="Times New Roman" w:cs="Arial"/>
                <w:sz w:val="18"/>
                <w:szCs w:val="18"/>
                <w:lang w:eastAsia="fr-FR"/>
              </w:rPr>
              <w:t>9211204 - ZAC PORT DE PANTIN</w:t>
            </w:r>
          </w:p>
        </w:tc>
        <w:tc>
          <w:tcPr>
            <w:tcW w:w="1497" w:type="dxa"/>
            <w:tcBorders>
              <w:top w:val="nil"/>
              <w:left w:val="nil"/>
              <w:bottom w:val="nil"/>
              <w:right w:val="nil"/>
            </w:tcBorders>
            <w:shd w:val="clear" w:color="auto" w:fill="auto"/>
            <w:vAlign w:val="center"/>
            <w:hideMark/>
          </w:tcPr>
          <w:p w:rsidR="00A10AAD" w:rsidRPr="00A10AAD" w:rsidRDefault="00A10AAD" w:rsidP="00A10AAD">
            <w:pPr>
              <w:spacing w:line="240" w:lineRule="auto"/>
              <w:jc w:val="right"/>
              <w:rPr>
                <w:rFonts w:eastAsia="Times New Roman" w:cs="Arial"/>
                <w:sz w:val="18"/>
                <w:szCs w:val="18"/>
                <w:lang w:eastAsia="fr-FR"/>
              </w:rPr>
            </w:pPr>
            <w:r w:rsidRPr="00A10AAD">
              <w:rPr>
                <w:rFonts w:eastAsia="Times New Roman" w:cs="Arial"/>
                <w:sz w:val="18"/>
                <w:szCs w:val="18"/>
                <w:lang w:eastAsia="fr-FR"/>
              </w:rPr>
              <w:t>2 000 000,00 €</w:t>
            </w:r>
          </w:p>
        </w:tc>
        <w:tc>
          <w:tcPr>
            <w:tcW w:w="2020" w:type="dxa"/>
            <w:tcBorders>
              <w:top w:val="nil"/>
              <w:left w:val="nil"/>
              <w:bottom w:val="nil"/>
              <w:right w:val="single" w:sz="8" w:space="0" w:color="auto"/>
            </w:tcBorders>
            <w:shd w:val="clear" w:color="auto" w:fill="auto"/>
            <w:vAlign w:val="center"/>
            <w:hideMark/>
          </w:tcPr>
          <w:p w:rsidR="00A10AAD" w:rsidRPr="00A10AAD" w:rsidRDefault="00A10AAD" w:rsidP="00A10AAD">
            <w:pPr>
              <w:spacing w:line="240" w:lineRule="auto"/>
              <w:jc w:val="right"/>
              <w:rPr>
                <w:rFonts w:eastAsia="Times New Roman" w:cs="Arial"/>
                <w:sz w:val="18"/>
                <w:szCs w:val="18"/>
                <w:lang w:eastAsia="fr-FR"/>
              </w:rPr>
            </w:pPr>
            <w:r w:rsidRPr="00A10AAD">
              <w:rPr>
                <w:rFonts w:eastAsia="Times New Roman" w:cs="Arial"/>
                <w:sz w:val="18"/>
                <w:szCs w:val="18"/>
                <w:lang w:eastAsia="fr-FR"/>
              </w:rPr>
              <w:t xml:space="preserve">                   2 000 000,00   </w:t>
            </w:r>
          </w:p>
        </w:tc>
      </w:tr>
      <w:tr w:rsidR="00A10AAD" w:rsidRPr="00A10AAD" w:rsidTr="00A10AAD">
        <w:trPr>
          <w:trHeight w:val="255"/>
        </w:trPr>
        <w:tc>
          <w:tcPr>
            <w:tcW w:w="6003" w:type="dxa"/>
            <w:tcBorders>
              <w:top w:val="nil"/>
              <w:left w:val="single" w:sz="8" w:space="0" w:color="auto"/>
              <w:bottom w:val="nil"/>
              <w:right w:val="nil"/>
            </w:tcBorders>
            <w:shd w:val="clear" w:color="auto" w:fill="auto"/>
            <w:noWrap/>
            <w:vAlign w:val="center"/>
            <w:hideMark/>
          </w:tcPr>
          <w:p w:rsidR="00A10AAD" w:rsidRPr="00A10AAD" w:rsidRDefault="00A10AAD" w:rsidP="00A10AAD">
            <w:pPr>
              <w:spacing w:line="240" w:lineRule="auto"/>
              <w:ind w:firstLineChars="100" w:firstLine="180"/>
              <w:jc w:val="left"/>
              <w:rPr>
                <w:rFonts w:eastAsia="Times New Roman" w:cs="Arial"/>
                <w:sz w:val="18"/>
                <w:szCs w:val="18"/>
                <w:lang w:eastAsia="fr-FR"/>
              </w:rPr>
            </w:pPr>
            <w:r w:rsidRPr="00A10AAD">
              <w:rPr>
                <w:rFonts w:eastAsia="Times New Roman" w:cs="Arial"/>
                <w:sz w:val="18"/>
                <w:szCs w:val="18"/>
                <w:lang w:eastAsia="fr-FR"/>
              </w:rPr>
              <w:t>9211205 - ZAC PLAINE DE L'OURCQ NOISY</w:t>
            </w:r>
          </w:p>
        </w:tc>
        <w:tc>
          <w:tcPr>
            <w:tcW w:w="1497" w:type="dxa"/>
            <w:tcBorders>
              <w:top w:val="nil"/>
              <w:left w:val="nil"/>
              <w:bottom w:val="nil"/>
              <w:right w:val="nil"/>
            </w:tcBorders>
            <w:shd w:val="clear" w:color="auto" w:fill="auto"/>
            <w:vAlign w:val="center"/>
            <w:hideMark/>
          </w:tcPr>
          <w:p w:rsidR="00A10AAD" w:rsidRPr="00A10AAD" w:rsidRDefault="00A10AAD" w:rsidP="00A10AAD">
            <w:pPr>
              <w:spacing w:line="240" w:lineRule="auto"/>
              <w:jc w:val="right"/>
              <w:rPr>
                <w:rFonts w:eastAsia="Times New Roman" w:cs="Arial"/>
                <w:sz w:val="18"/>
                <w:szCs w:val="18"/>
                <w:lang w:eastAsia="fr-FR"/>
              </w:rPr>
            </w:pPr>
            <w:r w:rsidRPr="00A10AAD">
              <w:rPr>
                <w:rFonts w:eastAsia="Times New Roman" w:cs="Arial"/>
                <w:sz w:val="18"/>
                <w:szCs w:val="18"/>
                <w:lang w:eastAsia="fr-FR"/>
              </w:rPr>
              <w:t>200 000,00 €</w:t>
            </w:r>
          </w:p>
        </w:tc>
        <w:tc>
          <w:tcPr>
            <w:tcW w:w="2020" w:type="dxa"/>
            <w:tcBorders>
              <w:top w:val="nil"/>
              <w:left w:val="nil"/>
              <w:bottom w:val="nil"/>
              <w:right w:val="single" w:sz="8" w:space="0" w:color="auto"/>
            </w:tcBorders>
            <w:shd w:val="clear" w:color="auto" w:fill="auto"/>
            <w:vAlign w:val="center"/>
            <w:hideMark/>
          </w:tcPr>
          <w:p w:rsidR="00A10AAD" w:rsidRPr="00A10AAD" w:rsidRDefault="00A10AAD" w:rsidP="00A10AAD">
            <w:pPr>
              <w:spacing w:line="240" w:lineRule="auto"/>
              <w:jc w:val="right"/>
              <w:rPr>
                <w:rFonts w:eastAsia="Times New Roman" w:cs="Arial"/>
                <w:sz w:val="18"/>
                <w:szCs w:val="18"/>
                <w:lang w:eastAsia="fr-FR"/>
              </w:rPr>
            </w:pPr>
            <w:r w:rsidRPr="00A10AAD">
              <w:rPr>
                <w:rFonts w:eastAsia="Times New Roman" w:cs="Arial"/>
                <w:sz w:val="18"/>
                <w:szCs w:val="18"/>
                <w:lang w:eastAsia="fr-FR"/>
              </w:rPr>
              <w:t xml:space="preserve">                      200 000,00   </w:t>
            </w:r>
          </w:p>
        </w:tc>
      </w:tr>
      <w:tr w:rsidR="00A10AAD" w:rsidRPr="00A10AAD" w:rsidTr="00A10AAD">
        <w:trPr>
          <w:trHeight w:val="255"/>
        </w:trPr>
        <w:tc>
          <w:tcPr>
            <w:tcW w:w="6003" w:type="dxa"/>
            <w:tcBorders>
              <w:top w:val="nil"/>
              <w:left w:val="single" w:sz="8" w:space="0" w:color="auto"/>
              <w:bottom w:val="nil"/>
              <w:right w:val="nil"/>
            </w:tcBorders>
            <w:shd w:val="clear" w:color="auto" w:fill="auto"/>
            <w:noWrap/>
            <w:vAlign w:val="center"/>
            <w:hideMark/>
          </w:tcPr>
          <w:p w:rsidR="00A10AAD" w:rsidRPr="00A10AAD" w:rsidRDefault="00A10AAD" w:rsidP="00A10AAD">
            <w:pPr>
              <w:spacing w:line="240" w:lineRule="auto"/>
              <w:ind w:firstLineChars="100" w:firstLine="180"/>
              <w:jc w:val="left"/>
              <w:rPr>
                <w:rFonts w:eastAsia="Times New Roman" w:cs="Arial"/>
                <w:sz w:val="18"/>
                <w:szCs w:val="18"/>
                <w:lang w:eastAsia="fr-FR"/>
              </w:rPr>
            </w:pPr>
            <w:r w:rsidRPr="00A10AAD">
              <w:rPr>
                <w:rFonts w:eastAsia="Times New Roman" w:cs="Arial"/>
                <w:sz w:val="18"/>
                <w:szCs w:val="18"/>
                <w:lang w:eastAsia="fr-FR"/>
              </w:rPr>
              <w:t>9211208 - ECOQUARTIER PANTIN QUATRE CHEMINS</w:t>
            </w:r>
          </w:p>
        </w:tc>
        <w:tc>
          <w:tcPr>
            <w:tcW w:w="1497" w:type="dxa"/>
            <w:tcBorders>
              <w:top w:val="nil"/>
              <w:left w:val="nil"/>
              <w:bottom w:val="nil"/>
              <w:right w:val="nil"/>
            </w:tcBorders>
            <w:shd w:val="clear" w:color="auto" w:fill="auto"/>
            <w:vAlign w:val="center"/>
            <w:hideMark/>
          </w:tcPr>
          <w:p w:rsidR="00A10AAD" w:rsidRPr="00A10AAD" w:rsidRDefault="00A10AAD" w:rsidP="00A10AAD">
            <w:pPr>
              <w:spacing w:line="240" w:lineRule="auto"/>
              <w:jc w:val="right"/>
              <w:rPr>
                <w:rFonts w:eastAsia="Times New Roman" w:cs="Arial"/>
                <w:sz w:val="18"/>
                <w:szCs w:val="18"/>
                <w:lang w:eastAsia="fr-FR"/>
              </w:rPr>
            </w:pPr>
            <w:r w:rsidRPr="00A10AAD">
              <w:rPr>
                <w:rFonts w:eastAsia="Times New Roman" w:cs="Arial"/>
                <w:sz w:val="18"/>
                <w:szCs w:val="18"/>
                <w:lang w:eastAsia="fr-FR"/>
              </w:rPr>
              <w:t>104 396,10 €</w:t>
            </w:r>
          </w:p>
        </w:tc>
        <w:tc>
          <w:tcPr>
            <w:tcW w:w="2020" w:type="dxa"/>
            <w:tcBorders>
              <w:top w:val="nil"/>
              <w:left w:val="nil"/>
              <w:bottom w:val="nil"/>
              <w:right w:val="single" w:sz="8" w:space="0" w:color="auto"/>
            </w:tcBorders>
            <w:shd w:val="clear" w:color="auto" w:fill="auto"/>
            <w:vAlign w:val="center"/>
            <w:hideMark/>
          </w:tcPr>
          <w:p w:rsidR="00A10AAD" w:rsidRPr="00A10AAD" w:rsidRDefault="00A10AAD" w:rsidP="00A10AAD">
            <w:pPr>
              <w:spacing w:line="240" w:lineRule="auto"/>
              <w:jc w:val="right"/>
              <w:rPr>
                <w:rFonts w:eastAsia="Times New Roman" w:cs="Arial"/>
                <w:sz w:val="18"/>
                <w:szCs w:val="18"/>
                <w:lang w:eastAsia="fr-FR"/>
              </w:rPr>
            </w:pPr>
            <w:r w:rsidRPr="00A10AAD">
              <w:rPr>
                <w:rFonts w:eastAsia="Times New Roman" w:cs="Arial"/>
                <w:sz w:val="18"/>
                <w:szCs w:val="18"/>
                <w:lang w:eastAsia="fr-FR"/>
              </w:rPr>
              <w:t xml:space="preserve">                      256 199,73   </w:t>
            </w:r>
          </w:p>
        </w:tc>
      </w:tr>
      <w:tr w:rsidR="00A10AAD" w:rsidRPr="00A10AAD" w:rsidTr="00A10AAD">
        <w:trPr>
          <w:trHeight w:val="255"/>
        </w:trPr>
        <w:tc>
          <w:tcPr>
            <w:tcW w:w="6003" w:type="dxa"/>
            <w:tcBorders>
              <w:top w:val="nil"/>
              <w:left w:val="single" w:sz="8" w:space="0" w:color="auto"/>
              <w:bottom w:val="nil"/>
              <w:right w:val="nil"/>
            </w:tcBorders>
            <w:shd w:val="clear" w:color="auto" w:fill="auto"/>
            <w:noWrap/>
            <w:vAlign w:val="center"/>
            <w:hideMark/>
          </w:tcPr>
          <w:p w:rsidR="00A10AAD" w:rsidRPr="00A10AAD" w:rsidRDefault="00A10AAD" w:rsidP="00A10AAD">
            <w:pPr>
              <w:spacing w:line="240" w:lineRule="auto"/>
              <w:ind w:firstLineChars="100" w:firstLine="180"/>
              <w:jc w:val="left"/>
              <w:rPr>
                <w:rFonts w:eastAsia="Times New Roman" w:cs="Arial"/>
                <w:sz w:val="18"/>
                <w:szCs w:val="18"/>
                <w:lang w:eastAsia="fr-FR"/>
              </w:rPr>
            </w:pPr>
            <w:r w:rsidRPr="00A10AAD">
              <w:rPr>
                <w:rFonts w:eastAsia="Times New Roman" w:cs="Arial"/>
                <w:sz w:val="18"/>
                <w:szCs w:val="18"/>
                <w:lang w:eastAsia="fr-FR"/>
              </w:rPr>
              <w:t>9211207 - ZAC RIVES DE L'OURCQ - BONDY</w:t>
            </w:r>
          </w:p>
        </w:tc>
        <w:tc>
          <w:tcPr>
            <w:tcW w:w="1497" w:type="dxa"/>
            <w:tcBorders>
              <w:top w:val="nil"/>
              <w:left w:val="nil"/>
              <w:bottom w:val="nil"/>
              <w:right w:val="nil"/>
            </w:tcBorders>
            <w:shd w:val="clear" w:color="auto" w:fill="auto"/>
            <w:vAlign w:val="center"/>
            <w:hideMark/>
          </w:tcPr>
          <w:p w:rsidR="00A10AAD" w:rsidRPr="00A10AAD" w:rsidRDefault="00A10AAD" w:rsidP="00A10AAD">
            <w:pPr>
              <w:spacing w:line="240" w:lineRule="auto"/>
              <w:jc w:val="right"/>
              <w:rPr>
                <w:rFonts w:eastAsia="Times New Roman" w:cs="Arial"/>
                <w:sz w:val="18"/>
                <w:szCs w:val="18"/>
                <w:lang w:eastAsia="fr-FR"/>
              </w:rPr>
            </w:pPr>
            <w:r w:rsidRPr="00A10AAD">
              <w:rPr>
                <w:rFonts w:eastAsia="Times New Roman" w:cs="Arial"/>
                <w:sz w:val="18"/>
                <w:szCs w:val="18"/>
                <w:lang w:eastAsia="fr-FR"/>
              </w:rPr>
              <w:t>403 456,00 €</w:t>
            </w:r>
          </w:p>
        </w:tc>
        <w:tc>
          <w:tcPr>
            <w:tcW w:w="2020" w:type="dxa"/>
            <w:tcBorders>
              <w:top w:val="nil"/>
              <w:left w:val="nil"/>
              <w:bottom w:val="nil"/>
              <w:right w:val="single" w:sz="8" w:space="0" w:color="auto"/>
            </w:tcBorders>
            <w:shd w:val="clear" w:color="auto" w:fill="auto"/>
            <w:vAlign w:val="center"/>
            <w:hideMark/>
          </w:tcPr>
          <w:p w:rsidR="00A10AAD" w:rsidRPr="00A10AAD" w:rsidRDefault="00A10AAD" w:rsidP="00A10AAD">
            <w:pPr>
              <w:spacing w:line="240" w:lineRule="auto"/>
              <w:jc w:val="right"/>
              <w:rPr>
                <w:rFonts w:eastAsia="Times New Roman" w:cs="Arial"/>
                <w:sz w:val="18"/>
                <w:szCs w:val="18"/>
                <w:lang w:eastAsia="fr-FR"/>
              </w:rPr>
            </w:pPr>
            <w:r w:rsidRPr="00A10AAD">
              <w:rPr>
                <w:rFonts w:eastAsia="Times New Roman" w:cs="Arial"/>
                <w:sz w:val="18"/>
                <w:szCs w:val="18"/>
                <w:lang w:eastAsia="fr-FR"/>
              </w:rPr>
              <w:t xml:space="preserve">                      406 248,17   </w:t>
            </w:r>
          </w:p>
        </w:tc>
      </w:tr>
      <w:tr w:rsidR="00A10AAD" w:rsidRPr="00A10AAD" w:rsidTr="00A10AAD">
        <w:trPr>
          <w:trHeight w:val="255"/>
        </w:trPr>
        <w:tc>
          <w:tcPr>
            <w:tcW w:w="6003" w:type="dxa"/>
            <w:tcBorders>
              <w:top w:val="nil"/>
              <w:left w:val="single" w:sz="8" w:space="0" w:color="auto"/>
              <w:bottom w:val="nil"/>
              <w:right w:val="nil"/>
            </w:tcBorders>
            <w:shd w:val="clear" w:color="auto" w:fill="auto"/>
            <w:noWrap/>
            <w:vAlign w:val="center"/>
            <w:hideMark/>
          </w:tcPr>
          <w:p w:rsidR="00A10AAD" w:rsidRPr="00A10AAD" w:rsidRDefault="00A10AAD" w:rsidP="00A10AAD">
            <w:pPr>
              <w:spacing w:line="240" w:lineRule="auto"/>
              <w:ind w:firstLineChars="100" w:firstLine="180"/>
              <w:jc w:val="left"/>
              <w:rPr>
                <w:rFonts w:eastAsia="Times New Roman" w:cs="Arial"/>
                <w:sz w:val="18"/>
                <w:szCs w:val="18"/>
                <w:lang w:eastAsia="fr-FR"/>
              </w:rPr>
            </w:pPr>
            <w:r w:rsidRPr="00A10AAD">
              <w:rPr>
                <w:rFonts w:eastAsia="Times New Roman" w:cs="Arial"/>
                <w:sz w:val="18"/>
                <w:szCs w:val="18"/>
                <w:lang w:eastAsia="fr-FR"/>
              </w:rPr>
              <w:t>9211213 - ACCOMPAGNEMENT JURIDIQUE, FINANCIER ET AMGT</w:t>
            </w:r>
          </w:p>
        </w:tc>
        <w:tc>
          <w:tcPr>
            <w:tcW w:w="1497" w:type="dxa"/>
            <w:tcBorders>
              <w:top w:val="nil"/>
              <w:left w:val="nil"/>
              <w:bottom w:val="nil"/>
              <w:right w:val="nil"/>
            </w:tcBorders>
            <w:shd w:val="clear" w:color="auto" w:fill="auto"/>
            <w:vAlign w:val="center"/>
            <w:hideMark/>
          </w:tcPr>
          <w:p w:rsidR="00A10AAD" w:rsidRPr="00A10AAD" w:rsidRDefault="00A10AAD" w:rsidP="00A10AAD">
            <w:pPr>
              <w:spacing w:line="240" w:lineRule="auto"/>
              <w:jc w:val="right"/>
              <w:rPr>
                <w:rFonts w:eastAsia="Times New Roman" w:cs="Arial"/>
                <w:sz w:val="18"/>
                <w:szCs w:val="18"/>
                <w:lang w:eastAsia="fr-FR"/>
              </w:rPr>
            </w:pPr>
            <w:r w:rsidRPr="00A10AAD">
              <w:rPr>
                <w:rFonts w:eastAsia="Times New Roman" w:cs="Arial"/>
                <w:sz w:val="18"/>
                <w:szCs w:val="18"/>
                <w:lang w:eastAsia="fr-FR"/>
              </w:rPr>
              <w:t>7 740,00 €</w:t>
            </w:r>
          </w:p>
        </w:tc>
        <w:tc>
          <w:tcPr>
            <w:tcW w:w="2020" w:type="dxa"/>
            <w:tcBorders>
              <w:top w:val="nil"/>
              <w:left w:val="nil"/>
              <w:bottom w:val="nil"/>
              <w:right w:val="single" w:sz="8" w:space="0" w:color="auto"/>
            </w:tcBorders>
            <w:shd w:val="clear" w:color="auto" w:fill="auto"/>
            <w:vAlign w:val="center"/>
            <w:hideMark/>
          </w:tcPr>
          <w:p w:rsidR="00A10AAD" w:rsidRPr="00A10AAD" w:rsidRDefault="00A10AAD" w:rsidP="00A10AAD">
            <w:pPr>
              <w:spacing w:line="240" w:lineRule="auto"/>
              <w:jc w:val="right"/>
              <w:rPr>
                <w:rFonts w:eastAsia="Times New Roman" w:cs="Arial"/>
                <w:sz w:val="18"/>
                <w:szCs w:val="18"/>
                <w:lang w:eastAsia="fr-FR"/>
              </w:rPr>
            </w:pPr>
            <w:r w:rsidRPr="00A10AAD">
              <w:rPr>
                <w:rFonts w:eastAsia="Times New Roman" w:cs="Arial"/>
                <w:sz w:val="18"/>
                <w:szCs w:val="18"/>
                <w:lang w:eastAsia="fr-FR"/>
              </w:rPr>
              <w:t xml:space="preserve">                        15 540,00   </w:t>
            </w:r>
          </w:p>
        </w:tc>
      </w:tr>
      <w:tr w:rsidR="00A10AAD" w:rsidRPr="00A10AAD" w:rsidTr="00A10AAD">
        <w:trPr>
          <w:trHeight w:val="255"/>
        </w:trPr>
        <w:tc>
          <w:tcPr>
            <w:tcW w:w="6003" w:type="dxa"/>
            <w:tcBorders>
              <w:top w:val="nil"/>
              <w:left w:val="single" w:sz="8" w:space="0" w:color="auto"/>
              <w:bottom w:val="nil"/>
              <w:right w:val="nil"/>
            </w:tcBorders>
            <w:shd w:val="clear" w:color="auto" w:fill="auto"/>
            <w:noWrap/>
            <w:vAlign w:val="center"/>
            <w:hideMark/>
          </w:tcPr>
          <w:p w:rsidR="00A10AAD" w:rsidRPr="00A10AAD" w:rsidRDefault="00A10AAD" w:rsidP="00A10AAD">
            <w:pPr>
              <w:spacing w:line="240" w:lineRule="auto"/>
              <w:ind w:firstLineChars="100" w:firstLine="180"/>
              <w:jc w:val="left"/>
              <w:rPr>
                <w:rFonts w:eastAsia="Times New Roman" w:cs="Arial"/>
                <w:sz w:val="18"/>
                <w:szCs w:val="18"/>
                <w:lang w:eastAsia="fr-FR"/>
              </w:rPr>
            </w:pPr>
            <w:r w:rsidRPr="00A10AAD">
              <w:rPr>
                <w:rFonts w:eastAsia="Times New Roman" w:cs="Arial"/>
                <w:sz w:val="18"/>
                <w:szCs w:val="18"/>
                <w:lang w:eastAsia="fr-FR"/>
              </w:rPr>
              <w:t>9211214 - ZAC BENOIT HURE BAGNOLET</w:t>
            </w:r>
          </w:p>
        </w:tc>
        <w:tc>
          <w:tcPr>
            <w:tcW w:w="1497" w:type="dxa"/>
            <w:tcBorders>
              <w:top w:val="nil"/>
              <w:left w:val="nil"/>
              <w:bottom w:val="nil"/>
              <w:right w:val="nil"/>
            </w:tcBorders>
            <w:shd w:val="clear" w:color="auto" w:fill="auto"/>
            <w:vAlign w:val="center"/>
            <w:hideMark/>
          </w:tcPr>
          <w:p w:rsidR="00A10AAD" w:rsidRPr="00A10AAD" w:rsidRDefault="00A10AAD" w:rsidP="00A10AAD">
            <w:pPr>
              <w:spacing w:line="240" w:lineRule="auto"/>
              <w:jc w:val="right"/>
              <w:rPr>
                <w:rFonts w:eastAsia="Times New Roman" w:cs="Arial"/>
                <w:sz w:val="18"/>
                <w:szCs w:val="18"/>
                <w:lang w:eastAsia="fr-FR"/>
              </w:rPr>
            </w:pPr>
            <w:r w:rsidRPr="00A10AAD">
              <w:rPr>
                <w:rFonts w:eastAsia="Times New Roman" w:cs="Arial"/>
                <w:sz w:val="18"/>
                <w:szCs w:val="18"/>
                <w:lang w:eastAsia="fr-FR"/>
              </w:rPr>
              <w:t>214 636,00 €</w:t>
            </w:r>
          </w:p>
        </w:tc>
        <w:tc>
          <w:tcPr>
            <w:tcW w:w="2020" w:type="dxa"/>
            <w:tcBorders>
              <w:top w:val="nil"/>
              <w:left w:val="nil"/>
              <w:bottom w:val="nil"/>
              <w:right w:val="single" w:sz="8" w:space="0" w:color="auto"/>
            </w:tcBorders>
            <w:shd w:val="clear" w:color="auto" w:fill="auto"/>
            <w:vAlign w:val="center"/>
            <w:hideMark/>
          </w:tcPr>
          <w:p w:rsidR="00A10AAD" w:rsidRPr="00A10AAD" w:rsidRDefault="00A10AAD" w:rsidP="00A10AAD">
            <w:pPr>
              <w:spacing w:line="240" w:lineRule="auto"/>
              <w:jc w:val="right"/>
              <w:rPr>
                <w:rFonts w:eastAsia="Times New Roman" w:cs="Arial"/>
                <w:sz w:val="18"/>
                <w:szCs w:val="18"/>
                <w:lang w:eastAsia="fr-FR"/>
              </w:rPr>
            </w:pPr>
            <w:r w:rsidRPr="00A10AAD">
              <w:rPr>
                <w:rFonts w:eastAsia="Times New Roman" w:cs="Arial"/>
                <w:sz w:val="18"/>
                <w:szCs w:val="18"/>
                <w:lang w:eastAsia="fr-FR"/>
              </w:rPr>
              <w:t> </w:t>
            </w:r>
          </w:p>
        </w:tc>
      </w:tr>
      <w:tr w:rsidR="00A10AAD" w:rsidRPr="00A10AAD" w:rsidTr="00A10AAD">
        <w:trPr>
          <w:trHeight w:val="255"/>
        </w:trPr>
        <w:tc>
          <w:tcPr>
            <w:tcW w:w="6003" w:type="dxa"/>
            <w:tcBorders>
              <w:top w:val="nil"/>
              <w:left w:val="single" w:sz="8" w:space="0" w:color="auto"/>
              <w:bottom w:val="nil"/>
              <w:right w:val="nil"/>
            </w:tcBorders>
            <w:shd w:val="clear" w:color="auto" w:fill="auto"/>
            <w:noWrap/>
            <w:vAlign w:val="center"/>
            <w:hideMark/>
          </w:tcPr>
          <w:p w:rsidR="00A10AAD" w:rsidRPr="00A10AAD" w:rsidRDefault="00A10AAD" w:rsidP="00A10AAD">
            <w:pPr>
              <w:spacing w:line="240" w:lineRule="auto"/>
              <w:ind w:firstLineChars="100" w:firstLine="180"/>
              <w:jc w:val="left"/>
              <w:rPr>
                <w:rFonts w:eastAsia="Times New Roman" w:cs="Arial"/>
                <w:sz w:val="18"/>
                <w:szCs w:val="18"/>
                <w:lang w:eastAsia="fr-FR"/>
              </w:rPr>
            </w:pPr>
            <w:r w:rsidRPr="00A10AAD">
              <w:rPr>
                <w:rFonts w:eastAsia="Times New Roman" w:cs="Arial"/>
                <w:sz w:val="18"/>
                <w:szCs w:val="18"/>
                <w:lang w:eastAsia="fr-FR"/>
              </w:rPr>
              <w:t>9211215 - ZAC DE L'HORLOGE ROMAINVILLE</w:t>
            </w:r>
          </w:p>
        </w:tc>
        <w:tc>
          <w:tcPr>
            <w:tcW w:w="1497" w:type="dxa"/>
            <w:tcBorders>
              <w:top w:val="nil"/>
              <w:left w:val="nil"/>
              <w:bottom w:val="nil"/>
              <w:right w:val="nil"/>
            </w:tcBorders>
            <w:shd w:val="clear" w:color="auto" w:fill="auto"/>
            <w:vAlign w:val="center"/>
            <w:hideMark/>
          </w:tcPr>
          <w:p w:rsidR="00A10AAD" w:rsidRPr="00A10AAD" w:rsidRDefault="00A10AAD" w:rsidP="00A10AAD">
            <w:pPr>
              <w:spacing w:line="240" w:lineRule="auto"/>
              <w:jc w:val="right"/>
              <w:rPr>
                <w:rFonts w:eastAsia="Times New Roman" w:cs="Arial"/>
                <w:sz w:val="18"/>
                <w:szCs w:val="18"/>
                <w:lang w:eastAsia="fr-FR"/>
              </w:rPr>
            </w:pPr>
            <w:r w:rsidRPr="00A10AAD">
              <w:rPr>
                <w:rFonts w:eastAsia="Times New Roman" w:cs="Arial"/>
                <w:sz w:val="18"/>
                <w:szCs w:val="18"/>
                <w:lang w:eastAsia="fr-FR"/>
              </w:rPr>
              <w:t>1 749 140,00 €</w:t>
            </w:r>
          </w:p>
        </w:tc>
        <w:tc>
          <w:tcPr>
            <w:tcW w:w="2020" w:type="dxa"/>
            <w:tcBorders>
              <w:top w:val="nil"/>
              <w:left w:val="nil"/>
              <w:bottom w:val="nil"/>
              <w:right w:val="single" w:sz="8" w:space="0" w:color="auto"/>
            </w:tcBorders>
            <w:shd w:val="clear" w:color="auto" w:fill="auto"/>
            <w:vAlign w:val="center"/>
            <w:hideMark/>
          </w:tcPr>
          <w:p w:rsidR="00A10AAD" w:rsidRPr="00A10AAD" w:rsidRDefault="00A10AAD" w:rsidP="00A10AAD">
            <w:pPr>
              <w:spacing w:line="240" w:lineRule="auto"/>
              <w:jc w:val="right"/>
              <w:rPr>
                <w:rFonts w:eastAsia="Times New Roman" w:cs="Arial"/>
                <w:sz w:val="18"/>
                <w:szCs w:val="18"/>
                <w:lang w:eastAsia="fr-FR"/>
              </w:rPr>
            </w:pPr>
            <w:r w:rsidRPr="00A10AAD">
              <w:rPr>
                <w:rFonts w:eastAsia="Times New Roman" w:cs="Arial"/>
                <w:sz w:val="18"/>
                <w:szCs w:val="18"/>
                <w:lang w:eastAsia="fr-FR"/>
              </w:rPr>
              <w:t xml:space="preserve">                   2 249 140,00   </w:t>
            </w:r>
          </w:p>
        </w:tc>
      </w:tr>
      <w:tr w:rsidR="00A10AAD" w:rsidRPr="00A10AAD" w:rsidTr="00A10AAD">
        <w:trPr>
          <w:trHeight w:val="255"/>
        </w:trPr>
        <w:tc>
          <w:tcPr>
            <w:tcW w:w="6003" w:type="dxa"/>
            <w:tcBorders>
              <w:top w:val="nil"/>
              <w:left w:val="single" w:sz="8" w:space="0" w:color="auto"/>
              <w:bottom w:val="nil"/>
              <w:right w:val="nil"/>
            </w:tcBorders>
            <w:shd w:val="clear" w:color="auto" w:fill="auto"/>
            <w:noWrap/>
            <w:vAlign w:val="center"/>
            <w:hideMark/>
          </w:tcPr>
          <w:p w:rsidR="00A10AAD" w:rsidRPr="00A10AAD" w:rsidRDefault="00A10AAD" w:rsidP="00A10AAD">
            <w:pPr>
              <w:spacing w:line="240" w:lineRule="auto"/>
              <w:ind w:firstLineChars="100" w:firstLine="180"/>
              <w:jc w:val="left"/>
              <w:rPr>
                <w:rFonts w:eastAsia="Times New Roman" w:cs="Arial"/>
                <w:sz w:val="18"/>
                <w:szCs w:val="18"/>
                <w:lang w:eastAsia="fr-FR"/>
              </w:rPr>
            </w:pPr>
            <w:r w:rsidRPr="00A10AAD">
              <w:rPr>
                <w:rFonts w:eastAsia="Times New Roman" w:cs="Arial"/>
                <w:sz w:val="18"/>
                <w:szCs w:val="18"/>
                <w:lang w:eastAsia="fr-FR"/>
              </w:rPr>
              <w:t>9211216 - TERRITOIRE PLAINE DE L’OURCQ</w:t>
            </w:r>
          </w:p>
        </w:tc>
        <w:tc>
          <w:tcPr>
            <w:tcW w:w="1497" w:type="dxa"/>
            <w:tcBorders>
              <w:top w:val="nil"/>
              <w:left w:val="nil"/>
              <w:bottom w:val="nil"/>
              <w:right w:val="nil"/>
            </w:tcBorders>
            <w:shd w:val="clear" w:color="auto" w:fill="auto"/>
            <w:vAlign w:val="center"/>
            <w:hideMark/>
          </w:tcPr>
          <w:p w:rsidR="00A10AAD" w:rsidRPr="00A10AAD" w:rsidRDefault="00A10AAD" w:rsidP="00A10AAD">
            <w:pPr>
              <w:spacing w:line="240" w:lineRule="auto"/>
              <w:jc w:val="right"/>
              <w:rPr>
                <w:rFonts w:eastAsia="Times New Roman" w:cs="Arial"/>
                <w:sz w:val="18"/>
                <w:szCs w:val="18"/>
                <w:lang w:eastAsia="fr-FR"/>
              </w:rPr>
            </w:pPr>
            <w:r w:rsidRPr="00A10AAD">
              <w:rPr>
                <w:rFonts w:eastAsia="Times New Roman" w:cs="Arial"/>
                <w:sz w:val="18"/>
                <w:szCs w:val="18"/>
                <w:lang w:eastAsia="fr-FR"/>
              </w:rPr>
              <w:t>112 539,56 €</w:t>
            </w:r>
          </w:p>
        </w:tc>
        <w:tc>
          <w:tcPr>
            <w:tcW w:w="2020" w:type="dxa"/>
            <w:tcBorders>
              <w:top w:val="nil"/>
              <w:left w:val="nil"/>
              <w:bottom w:val="nil"/>
              <w:right w:val="single" w:sz="8" w:space="0" w:color="auto"/>
            </w:tcBorders>
            <w:shd w:val="clear" w:color="auto" w:fill="auto"/>
            <w:vAlign w:val="center"/>
            <w:hideMark/>
          </w:tcPr>
          <w:p w:rsidR="00A10AAD" w:rsidRPr="00A10AAD" w:rsidRDefault="00A10AAD" w:rsidP="00A10AAD">
            <w:pPr>
              <w:spacing w:line="240" w:lineRule="auto"/>
              <w:jc w:val="right"/>
              <w:rPr>
                <w:rFonts w:eastAsia="Times New Roman" w:cs="Arial"/>
                <w:sz w:val="18"/>
                <w:szCs w:val="18"/>
                <w:lang w:eastAsia="fr-FR"/>
              </w:rPr>
            </w:pPr>
            <w:r w:rsidRPr="00A10AAD">
              <w:rPr>
                <w:rFonts w:eastAsia="Times New Roman" w:cs="Arial"/>
                <w:sz w:val="18"/>
                <w:szCs w:val="18"/>
                <w:lang w:eastAsia="fr-FR"/>
              </w:rPr>
              <w:t xml:space="preserve">                        97 796,96   </w:t>
            </w:r>
          </w:p>
        </w:tc>
      </w:tr>
      <w:tr w:rsidR="00A10AAD" w:rsidRPr="00A10AAD" w:rsidTr="00A10AAD">
        <w:trPr>
          <w:trHeight w:val="270"/>
        </w:trPr>
        <w:tc>
          <w:tcPr>
            <w:tcW w:w="6003" w:type="dxa"/>
            <w:tcBorders>
              <w:top w:val="nil"/>
              <w:left w:val="single" w:sz="8" w:space="0" w:color="auto"/>
              <w:bottom w:val="single" w:sz="8" w:space="0" w:color="auto"/>
              <w:right w:val="nil"/>
            </w:tcBorders>
            <w:shd w:val="clear" w:color="000000" w:fill="BFBFBF"/>
            <w:noWrap/>
            <w:vAlign w:val="center"/>
            <w:hideMark/>
          </w:tcPr>
          <w:p w:rsidR="00A10AAD" w:rsidRPr="00A10AAD" w:rsidRDefault="00A10AAD" w:rsidP="00A10AAD">
            <w:pPr>
              <w:spacing w:line="240" w:lineRule="auto"/>
              <w:jc w:val="left"/>
              <w:rPr>
                <w:rFonts w:eastAsia="Times New Roman" w:cs="Arial"/>
                <w:b/>
                <w:bCs/>
                <w:sz w:val="18"/>
                <w:szCs w:val="18"/>
                <w:lang w:eastAsia="fr-FR"/>
              </w:rPr>
            </w:pPr>
            <w:r w:rsidRPr="00A10AAD">
              <w:rPr>
                <w:rFonts w:eastAsia="Times New Roman" w:cs="Arial"/>
                <w:b/>
                <w:bCs/>
                <w:sz w:val="18"/>
                <w:szCs w:val="18"/>
                <w:lang w:eastAsia="fr-FR"/>
              </w:rPr>
              <w:t>Total général</w:t>
            </w:r>
          </w:p>
        </w:tc>
        <w:tc>
          <w:tcPr>
            <w:tcW w:w="1497" w:type="dxa"/>
            <w:tcBorders>
              <w:top w:val="nil"/>
              <w:left w:val="nil"/>
              <w:bottom w:val="single" w:sz="8" w:space="0" w:color="auto"/>
              <w:right w:val="nil"/>
            </w:tcBorders>
            <w:shd w:val="clear" w:color="000000" w:fill="BFBFBF"/>
            <w:vAlign w:val="center"/>
            <w:hideMark/>
          </w:tcPr>
          <w:p w:rsidR="00A10AAD" w:rsidRPr="00A10AAD" w:rsidRDefault="00A10AAD" w:rsidP="00A10AAD">
            <w:pPr>
              <w:spacing w:line="240" w:lineRule="auto"/>
              <w:jc w:val="right"/>
              <w:rPr>
                <w:rFonts w:eastAsia="Times New Roman" w:cs="Arial"/>
                <w:b/>
                <w:bCs/>
                <w:sz w:val="18"/>
                <w:szCs w:val="18"/>
                <w:lang w:eastAsia="fr-FR"/>
              </w:rPr>
            </w:pPr>
            <w:r w:rsidRPr="00A10AAD">
              <w:rPr>
                <w:rFonts w:eastAsia="Times New Roman" w:cs="Arial"/>
                <w:b/>
                <w:bCs/>
                <w:sz w:val="18"/>
                <w:szCs w:val="18"/>
                <w:lang w:eastAsia="fr-FR"/>
              </w:rPr>
              <w:t>8 567 407,66 €</w:t>
            </w:r>
          </w:p>
        </w:tc>
        <w:tc>
          <w:tcPr>
            <w:tcW w:w="2020" w:type="dxa"/>
            <w:tcBorders>
              <w:top w:val="nil"/>
              <w:left w:val="nil"/>
              <w:bottom w:val="single" w:sz="8" w:space="0" w:color="auto"/>
              <w:right w:val="single" w:sz="8" w:space="0" w:color="auto"/>
            </w:tcBorders>
            <w:shd w:val="clear" w:color="000000" w:fill="BFBFBF"/>
            <w:vAlign w:val="center"/>
            <w:hideMark/>
          </w:tcPr>
          <w:p w:rsidR="00A10AAD" w:rsidRPr="00A10AAD" w:rsidRDefault="00A10AAD" w:rsidP="00A10AAD">
            <w:pPr>
              <w:spacing w:line="240" w:lineRule="auto"/>
              <w:jc w:val="right"/>
              <w:rPr>
                <w:rFonts w:eastAsia="Times New Roman" w:cs="Arial"/>
                <w:b/>
                <w:bCs/>
                <w:sz w:val="18"/>
                <w:szCs w:val="18"/>
                <w:lang w:eastAsia="fr-FR"/>
              </w:rPr>
            </w:pPr>
            <w:r w:rsidRPr="00A10AAD">
              <w:rPr>
                <w:rFonts w:eastAsia="Times New Roman" w:cs="Arial"/>
                <w:b/>
                <w:bCs/>
                <w:sz w:val="18"/>
                <w:szCs w:val="18"/>
                <w:lang w:eastAsia="fr-FR"/>
              </w:rPr>
              <w:t xml:space="preserve">                   8 306 211,65   </w:t>
            </w:r>
          </w:p>
        </w:tc>
      </w:tr>
    </w:tbl>
    <w:p w:rsidR="00A422DA" w:rsidRPr="00C45034" w:rsidRDefault="00A422DA" w:rsidP="00C45034">
      <w:pPr>
        <w:rPr>
          <w:rFonts w:ascii="Arial Narrow" w:hAnsi="Arial Narrow"/>
          <w:b/>
          <w:sz w:val="2"/>
        </w:rPr>
      </w:pPr>
    </w:p>
    <w:p w:rsidR="00BA39CE" w:rsidRDefault="00BA39CE" w:rsidP="00B01171">
      <w:pPr>
        <w:pStyle w:val="Titre4"/>
      </w:pPr>
      <w:r>
        <w:t>Le</w:t>
      </w:r>
      <w:r w:rsidR="00A422DA">
        <w:t xml:space="preserve"> remboursement du capital de la dette</w:t>
      </w:r>
    </w:p>
    <w:p w:rsidR="00E86007" w:rsidRPr="00E86007" w:rsidRDefault="00E86007" w:rsidP="00E86007"/>
    <w:tbl>
      <w:tblPr>
        <w:tblW w:w="9520" w:type="dxa"/>
        <w:tblInd w:w="55" w:type="dxa"/>
        <w:tblCellMar>
          <w:left w:w="70" w:type="dxa"/>
          <w:right w:w="70" w:type="dxa"/>
        </w:tblCellMar>
        <w:tblLook w:val="04A0" w:firstRow="1" w:lastRow="0" w:firstColumn="1" w:lastColumn="0" w:noHBand="0" w:noVBand="1"/>
      </w:tblPr>
      <w:tblGrid>
        <w:gridCol w:w="5480"/>
        <w:gridCol w:w="2020"/>
        <w:gridCol w:w="2020"/>
      </w:tblGrid>
      <w:tr w:rsidR="00484484" w:rsidRPr="00484484" w:rsidTr="00484484">
        <w:trPr>
          <w:trHeight w:val="255"/>
        </w:trPr>
        <w:tc>
          <w:tcPr>
            <w:tcW w:w="5480" w:type="dxa"/>
            <w:tcBorders>
              <w:top w:val="single" w:sz="8" w:space="0" w:color="auto"/>
              <w:left w:val="single" w:sz="8" w:space="0" w:color="auto"/>
              <w:bottom w:val="nil"/>
              <w:right w:val="nil"/>
            </w:tcBorders>
            <w:shd w:val="clear" w:color="000000" w:fill="CE013C"/>
            <w:noWrap/>
            <w:vAlign w:val="center"/>
            <w:hideMark/>
          </w:tcPr>
          <w:p w:rsidR="00484484" w:rsidRPr="00484484" w:rsidRDefault="00484484" w:rsidP="00484484">
            <w:pPr>
              <w:spacing w:line="240" w:lineRule="auto"/>
              <w:jc w:val="left"/>
              <w:rPr>
                <w:rFonts w:eastAsia="Times New Roman" w:cs="Arial"/>
                <w:b/>
                <w:bCs/>
                <w:color w:val="FFFFFF"/>
                <w:sz w:val="18"/>
                <w:szCs w:val="18"/>
                <w:lang w:eastAsia="fr-FR"/>
              </w:rPr>
            </w:pPr>
            <w:r w:rsidRPr="00484484">
              <w:rPr>
                <w:rFonts w:eastAsia="Times New Roman" w:cs="Arial"/>
                <w:b/>
                <w:bCs/>
                <w:color w:val="FFFFFF"/>
                <w:sz w:val="18"/>
                <w:szCs w:val="18"/>
                <w:lang w:eastAsia="fr-FR"/>
              </w:rPr>
              <w:t>PROGRAMME</w:t>
            </w:r>
          </w:p>
        </w:tc>
        <w:tc>
          <w:tcPr>
            <w:tcW w:w="2020" w:type="dxa"/>
            <w:tcBorders>
              <w:top w:val="single" w:sz="8" w:space="0" w:color="auto"/>
              <w:left w:val="nil"/>
              <w:bottom w:val="nil"/>
              <w:right w:val="nil"/>
            </w:tcBorders>
            <w:shd w:val="clear" w:color="000000" w:fill="CE013C"/>
            <w:vAlign w:val="center"/>
            <w:hideMark/>
          </w:tcPr>
          <w:p w:rsidR="00484484" w:rsidRPr="00484484" w:rsidRDefault="00484484" w:rsidP="00484484">
            <w:pPr>
              <w:spacing w:line="240" w:lineRule="auto"/>
              <w:jc w:val="center"/>
              <w:rPr>
                <w:rFonts w:eastAsia="Times New Roman" w:cs="Arial"/>
                <w:b/>
                <w:bCs/>
                <w:color w:val="FFFFFF"/>
                <w:sz w:val="18"/>
                <w:szCs w:val="18"/>
                <w:lang w:eastAsia="fr-FR"/>
              </w:rPr>
            </w:pPr>
            <w:r w:rsidRPr="00484484">
              <w:rPr>
                <w:rFonts w:eastAsia="Times New Roman" w:cs="Arial"/>
                <w:b/>
                <w:bCs/>
                <w:color w:val="FFFFFF"/>
                <w:sz w:val="18"/>
                <w:szCs w:val="18"/>
                <w:lang w:eastAsia="fr-FR"/>
              </w:rPr>
              <w:t>CA 2016</w:t>
            </w:r>
          </w:p>
        </w:tc>
        <w:tc>
          <w:tcPr>
            <w:tcW w:w="2020" w:type="dxa"/>
            <w:tcBorders>
              <w:top w:val="single" w:sz="8" w:space="0" w:color="auto"/>
              <w:left w:val="nil"/>
              <w:bottom w:val="nil"/>
              <w:right w:val="single" w:sz="8" w:space="0" w:color="auto"/>
            </w:tcBorders>
            <w:shd w:val="clear" w:color="000000" w:fill="CE013C"/>
            <w:noWrap/>
            <w:vAlign w:val="center"/>
            <w:hideMark/>
          </w:tcPr>
          <w:p w:rsidR="00484484" w:rsidRPr="00484484" w:rsidRDefault="00484484" w:rsidP="00484484">
            <w:pPr>
              <w:spacing w:line="240" w:lineRule="auto"/>
              <w:jc w:val="center"/>
              <w:rPr>
                <w:rFonts w:eastAsia="Times New Roman" w:cs="Arial"/>
                <w:b/>
                <w:bCs/>
                <w:color w:val="FFFFFF"/>
                <w:sz w:val="18"/>
                <w:szCs w:val="18"/>
                <w:lang w:eastAsia="fr-FR"/>
              </w:rPr>
            </w:pPr>
            <w:r w:rsidRPr="00484484">
              <w:rPr>
                <w:rFonts w:eastAsia="Times New Roman" w:cs="Arial"/>
                <w:b/>
                <w:bCs/>
                <w:color w:val="FFFFFF"/>
                <w:sz w:val="18"/>
                <w:szCs w:val="18"/>
                <w:lang w:eastAsia="fr-FR"/>
              </w:rPr>
              <w:t>CA 2017</w:t>
            </w:r>
          </w:p>
        </w:tc>
      </w:tr>
      <w:tr w:rsidR="00484484" w:rsidRPr="00484484" w:rsidTr="00484484">
        <w:trPr>
          <w:trHeight w:val="255"/>
        </w:trPr>
        <w:tc>
          <w:tcPr>
            <w:tcW w:w="5480" w:type="dxa"/>
            <w:tcBorders>
              <w:top w:val="nil"/>
              <w:left w:val="single" w:sz="8" w:space="0" w:color="auto"/>
              <w:bottom w:val="nil"/>
              <w:right w:val="nil"/>
            </w:tcBorders>
            <w:shd w:val="clear" w:color="auto" w:fill="auto"/>
            <w:noWrap/>
            <w:vAlign w:val="center"/>
            <w:hideMark/>
          </w:tcPr>
          <w:p w:rsidR="00484484" w:rsidRPr="00484484" w:rsidRDefault="00484484" w:rsidP="00484484">
            <w:pPr>
              <w:spacing w:line="240" w:lineRule="auto"/>
              <w:ind w:firstLineChars="100" w:firstLine="180"/>
              <w:jc w:val="left"/>
              <w:rPr>
                <w:rFonts w:eastAsia="Times New Roman" w:cs="Arial"/>
                <w:sz w:val="18"/>
                <w:szCs w:val="18"/>
                <w:lang w:eastAsia="fr-FR"/>
              </w:rPr>
            </w:pPr>
            <w:r w:rsidRPr="00484484">
              <w:rPr>
                <w:rFonts w:eastAsia="Times New Roman" w:cs="Arial"/>
                <w:sz w:val="18"/>
                <w:szCs w:val="18"/>
                <w:lang w:eastAsia="fr-FR"/>
              </w:rPr>
              <w:t>0211206005 - DETTE EN K ET INTERETS (ZAC DES LILAS)</w:t>
            </w:r>
          </w:p>
        </w:tc>
        <w:tc>
          <w:tcPr>
            <w:tcW w:w="2020" w:type="dxa"/>
            <w:tcBorders>
              <w:top w:val="nil"/>
              <w:left w:val="nil"/>
              <w:bottom w:val="nil"/>
              <w:right w:val="nil"/>
            </w:tcBorders>
            <w:shd w:val="clear" w:color="auto" w:fill="auto"/>
            <w:vAlign w:val="center"/>
            <w:hideMark/>
          </w:tcPr>
          <w:p w:rsidR="00484484" w:rsidRPr="00484484" w:rsidRDefault="00484484" w:rsidP="00484484">
            <w:pPr>
              <w:spacing w:line="240" w:lineRule="auto"/>
              <w:jc w:val="right"/>
              <w:rPr>
                <w:rFonts w:eastAsia="Times New Roman" w:cs="Arial"/>
                <w:sz w:val="18"/>
                <w:szCs w:val="18"/>
                <w:lang w:eastAsia="fr-FR"/>
              </w:rPr>
            </w:pPr>
            <w:r w:rsidRPr="00484484">
              <w:rPr>
                <w:rFonts w:eastAsia="Times New Roman" w:cs="Arial"/>
                <w:sz w:val="18"/>
                <w:szCs w:val="18"/>
                <w:lang w:eastAsia="fr-FR"/>
              </w:rPr>
              <w:t>200 000,00 €</w:t>
            </w:r>
          </w:p>
        </w:tc>
        <w:tc>
          <w:tcPr>
            <w:tcW w:w="2020" w:type="dxa"/>
            <w:tcBorders>
              <w:top w:val="nil"/>
              <w:left w:val="nil"/>
              <w:bottom w:val="nil"/>
              <w:right w:val="single" w:sz="8" w:space="0" w:color="auto"/>
            </w:tcBorders>
            <w:shd w:val="clear" w:color="auto" w:fill="auto"/>
            <w:vAlign w:val="center"/>
            <w:hideMark/>
          </w:tcPr>
          <w:p w:rsidR="00484484" w:rsidRPr="00484484" w:rsidRDefault="00484484" w:rsidP="00484484">
            <w:pPr>
              <w:spacing w:line="240" w:lineRule="auto"/>
              <w:jc w:val="right"/>
              <w:rPr>
                <w:rFonts w:eastAsia="Times New Roman" w:cs="Arial"/>
                <w:sz w:val="18"/>
                <w:szCs w:val="18"/>
                <w:lang w:eastAsia="fr-FR"/>
              </w:rPr>
            </w:pPr>
            <w:r w:rsidRPr="00484484">
              <w:rPr>
                <w:rFonts w:eastAsia="Times New Roman" w:cs="Arial"/>
                <w:sz w:val="18"/>
                <w:szCs w:val="18"/>
                <w:lang w:eastAsia="fr-FR"/>
              </w:rPr>
              <w:t xml:space="preserve">                      200 000,00   </w:t>
            </w:r>
          </w:p>
        </w:tc>
      </w:tr>
      <w:tr w:rsidR="00484484" w:rsidRPr="00484484" w:rsidTr="00484484">
        <w:trPr>
          <w:trHeight w:val="255"/>
        </w:trPr>
        <w:tc>
          <w:tcPr>
            <w:tcW w:w="5480" w:type="dxa"/>
            <w:tcBorders>
              <w:top w:val="nil"/>
              <w:left w:val="single" w:sz="8" w:space="0" w:color="auto"/>
              <w:bottom w:val="nil"/>
              <w:right w:val="nil"/>
            </w:tcBorders>
            <w:shd w:val="clear" w:color="auto" w:fill="auto"/>
            <w:noWrap/>
            <w:vAlign w:val="center"/>
            <w:hideMark/>
          </w:tcPr>
          <w:p w:rsidR="00484484" w:rsidRPr="00484484" w:rsidRDefault="00484484" w:rsidP="00484484">
            <w:pPr>
              <w:spacing w:line="240" w:lineRule="auto"/>
              <w:ind w:firstLineChars="100" w:firstLine="180"/>
              <w:jc w:val="left"/>
              <w:rPr>
                <w:rFonts w:eastAsia="Times New Roman" w:cs="Arial"/>
                <w:sz w:val="18"/>
                <w:szCs w:val="18"/>
                <w:lang w:eastAsia="fr-FR"/>
              </w:rPr>
            </w:pPr>
            <w:r w:rsidRPr="00484484">
              <w:rPr>
                <w:rFonts w:eastAsia="Times New Roman" w:cs="Arial"/>
                <w:sz w:val="18"/>
                <w:szCs w:val="18"/>
                <w:lang w:eastAsia="fr-FR"/>
              </w:rPr>
              <w:t>0211209001 -  CHARGE DE LA DETTE (HORS ZAC LILAS)</w:t>
            </w:r>
          </w:p>
        </w:tc>
        <w:tc>
          <w:tcPr>
            <w:tcW w:w="2020" w:type="dxa"/>
            <w:tcBorders>
              <w:top w:val="nil"/>
              <w:left w:val="nil"/>
              <w:bottom w:val="nil"/>
              <w:right w:val="nil"/>
            </w:tcBorders>
            <w:shd w:val="clear" w:color="auto" w:fill="auto"/>
            <w:vAlign w:val="center"/>
            <w:hideMark/>
          </w:tcPr>
          <w:p w:rsidR="00484484" w:rsidRPr="00484484" w:rsidRDefault="00484484" w:rsidP="00484484">
            <w:pPr>
              <w:spacing w:line="240" w:lineRule="auto"/>
              <w:jc w:val="right"/>
              <w:rPr>
                <w:rFonts w:eastAsia="Times New Roman" w:cs="Arial"/>
                <w:sz w:val="18"/>
                <w:szCs w:val="18"/>
                <w:lang w:eastAsia="fr-FR"/>
              </w:rPr>
            </w:pPr>
            <w:r w:rsidRPr="00484484">
              <w:rPr>
                <w:rFonts w:eastAsia="Times New Roman" w:cs="Arial"/>
                <w:sz w:val="18"/>
                <w:szCs w:val="18"/>
                <w:lang w:eastAsia="fr-FR"/>
              </w:rPr>
              <w:t>455 059,50 €</w:t>
            </w:r>
          </w:p>
        </w:tc>
        <w:tc>
          <w:tcPr>
            <w:tcW w:w="2020" w:type="dxa"/>
            <w:tcBorders>
              <w:top w:val="nil"/>
              <w:left w:val="nil"/>
              <w:bottom w:val="nil"/>
              <w:right w:val="single" w:sz="8" w:space="0" w:color="auto"/>
            </w:tcBorders>
            <w:shd w:val="clear" w:color="auto" w:fill="auto"/>
            <w:vAlign w:val="center"/>
            <w:hideMark/>
          </w:tcPr>
          <w:p w:rsidR="00484484" w:rsidRPr="00484484" w:rsidRDefault="00484484" w:rsidP="00484484">
            <w:pPr>
              <w:spacing w:line="240" w:lineRule="auto"/>
              <w:jc w:val="right"/>
              <w:rPr>
                <w:rFonts w:eastAsia="Times New Roman" w:cs="Arial"/>
                <w:sz w:val="18"/>
                <w:szCs w:val="18"/>
                <w:lang w:eastAsia="fr-FR"/>
              </w:rPr>
            </w:pPr>
            <w:r w:rsidRPr="00484484">
              <w:rPr>
                <w:rFonts w:eastAsia="Times New Roman" w:cs="Arial"/>
                <w:sz w:val="18"/>
                <w:szCs w:val="18"/>
                <w:lang w:eastAsia="fr-FR"/>
              </w:rPr>
              <w:t xml:space="preserve">                      825 634,92   </w:t>
            </w:r>
          </w:p>
        </w:tc>
      </w:tr>
      <w:tr w:rsidR="00484484" w:rsidRPr="00484484" w:rsidTr="00484484">
        <w:trPr>
          <w:trHeight w:val="270"/>
        </w:trPr>
        <w:tc>
          <w:tcPr>
            <w:tcW w:w="5480" w:type="dxa"/>
            <w:tcBorders>
              <w:top w:val="nil"/>
              <w:left w:val="single" w:sz="8" w:space="0" w:color="auto"/>
              <w:bottom w:val="single" w:sz="8" w:space="0" w:color="auto"/>
              <w:right w:val="nil"/>
            </w:tcBorders>
            <w:shd w:val="clear" w:color="000000" w:fill="BFBFBF"/>
            <w:noWrap/>
            <w:vAlign w:val="center"/>
            <w:hideMark/>
          </w:tcPr>
          <w:p w:rsidR="00484484" w:rsidRPr="00484484" w:rsidRDefault="00484484" w:rsidP="00484484">
            <w:pPr>
              <w:spacing w:line="240" w:lineRule="auto"/>
              <w:jc w:val="left"/>
              <w:rPr>
                <w:rFonts w:eastAsia="Times New Roman" w:cs="Arial"/>
                <w:b/>
                <w:bCs/>
                <w:sz w:val="18"/>
                <w:szCs w:val="18"/>
                <w:lang w:eastAsia="fr-FR"/>
              </w:rPr>
            </w:pPr>
            <w:r w:rsidRPr="00484484">
              <w:rPr>
                <w:rFonts w:eastAsia="Times New Roman" w:cs="Arial"/>
                <w:b/>
                <w:bCs/>
                <w:sz w:val="18"/>
                <w:szCs w:val="18"/>
                <w:lang w:eastAsia="fr-FR"/>
              </w:rPr>
              <w:t>Total général</w:t>
            </w:r>
          </w:p>
        </w:tc>
        <w:tc>
          <w:tcPr>
            <w:tcW w:w="2020" w:type="dxa"/>
            <w:tcBorders>
              <w:top w:val="nil"/>
              <w:left w:val="nil"/>
              <w:bottom w:val="single" w:sz="8" w:space="0" w:color="auto"/>
              <w:right w:val="nil"/>
            </w:tcBorders>
            <w:shd w:val="clear" w:color="000000" w:fill="BFBFBF"/>
            <w:vAlign w:val="center"/>
            <w:hideMark/>
          </w:tcPr>
          <w:p w:rsidR="00484484" w:rsidRPr="00484484" w:rsidRDefault="00484484" w:rsidP="00484484">
            <w:pPr>
              <w:spacing w:line="240" w:lineRule="auto"/>
              <w:jc w:val="right"/>
              <w:rPr>
                <w:rFonts w:eastAsia="Times New Roman" w:cs="Arial"/>
                <w:b/>
                <w:bCs/>
                <w:sz w:val="18"/>
                <w:szCs w:val="18"/>
                <w:lang w:eastAsia="fr-FR"/>
              </w:rPr>
            </w:pPr>
            <w:r w:rsidRPr="00484484">
              <w:rPr>
                <w:rFonts w:eastAsia="Times New Roman" w:cs="Arial"/>
                <w:b/>
                <w:bCs/>
                <w:sz w:val="18"/>
                <w:szCs w:val="18"/>
                <w:lang w:eastAsia="fr-FR"/>
              </w:rPr>
              <w:t>655 059,50 €</w:t>
            </w:r>
          </w:p>
        </w:tc>
        <w:tc>
          <w:tcPr>
            <w:tcW w:w="2020" w:type="dxa"/>
            <w:tcBorders>
              <w:top w:val="nil"/>
              <w:left w:val="nil"/>
              <w:bottom w:val="single" w:sz="8" w:space="0" w:color="auto"/>
              <w:right w:val="single" w:sz="8" w:space="0" w:color="auto"/>
            </w:tcBorders>
            <w:shd w:val="clear" w:color="000000" w:fill="BFBFBF"/>
            <w:vAlign w:val="center"/>
            <w:hideMark/>
          </w:tcPr>
          <w:p w:rsidR="00484484" w:rsidRPr="00484484" w:rsidRDefault="00484484" w:rsidP="00484484">
            <w:pPr>
              <w:spacing w:line="240" w:lineRule="auto"/>
              <w:jc w:val="right"/>
              <w:rPr>
                <w:rFonts w:eastAsia="Times New Roman" w:cs="Arial"/>
                <w:b/>
                <w:bCs/>
                <w:sz w:val="18"/>
                <w:szCs w:val="18"/>
                <w:lang w:eastAsia="fr-FR"/>
              </w:rPr>
            </w:pPr>
            <w:r w:rsidRPr="00484484">
              <w:rPr>
                <w:rFonts w:eastAsia="Times New Roman" w:cs="Arial"/>
                <w:b/>
                <w:bCs/>
                <w:sz w:val="18"/>
                <w:szCs w:val="18"/>
                <w:lang w:eastAsia="fr-FR"/>
              </w:rPr>
              <w:t xml:space="preserve">                   1 025 634,92   </w:t>
            </w:r>
          </w:p>
        </w:tc>
      </w:tr>
    </w:tbl>
    <w:p w:rsidR="00BA39CE" w:rsidRDefault="00BA39CE" w:rsidP="00BA39CE"/>
    <w:p w:rsidR="00346491" w:rsidRDefault="00346491" w:rsidP="00BA39CE">
      <w:r>
        <w:t xml:space="preserve">La forte montée en puissance du financement par l’emprunt engendre mécaniquement une progression </w:t>
      </w:r>
      <w:proofErr w:type="gramStart"/>
      <w:r>
        <w:t>des remboursement</w:t>
      </w:r>
      <w:proofErr w:type="gramEnd"/>
      <w:r>
        <w:t xml:space="preserve"> du capital de la dette.</w:t>
      </w:r>
      <w:bookmarkStart w:id="106" w:name="_GoBack"/>
      <w:bookmarkEnd w:id="106"/>
    </w:p>
    <w:p w:rsidR="00D8511C" w:rsidRDefault="00D8511C">
      <w:pPr>
        <w:jc w:val="left"/>
      </w:pPr>
      <w:r>
        <w:br w:type="page"/>
      </w:r>
    </w:p>
    <w:p w:rsidR="00C32D91" w:rsidRDefault="00BA39CE" w:rsidP="00C32D91">
      <w:pPr>
        <w:pStyle w:val="Titre1"/>
        <w:rPr>
          <w:rFonts w:cs="Tahoma"/>
        </w:rPr>
      </w:pPr>
      <w:bookmarkStart w:id="107" w:name="_Toc442390194"/>
      <w:bookmarkStart w:id="108" w:name="_Toc509490455"/>
      <w:r w:rsidRPr="004D406F">
        <w:rPr>
          <w:rFonts w:cs="Tahoma"/>
        </w:rPr>
        <w:lastRenderedPageBreak/>
        <w:t>I</w:t>
      </w:r>
      <w:r>
        <w:rPr>
          <w:rFonts w:cs="Tahoma"/>
        </w:rPr>
        <w:t>V</w:t>
      </w:r>
      <w:r w:rsidR="00C32D91" w:rsidRPr="004D406F">
        <w:rPr>
          <w:rFonts w:cs="Tahoma"/>
        </w:rPr>
        <w:t>.</w:t>
      </w:r>
      <w:r w:rsidR="00C32D91" w:rsidRPr="004D406F">
        <w:rPr>
          <w:rFonts w:cs="Tahoma"/>
        </w:rPr>
        <w:tab/>
      </w:r>
      <w:bookmarkEnd w:id="107"/>
      <w:r>
        <w:rPr>
          <w:rFonts w:cs="Tahoma"/>
        </w:rPr>
        <w:t>DETTE ET GESTION DE TRESORERIE</w:t>
      </w:r>
      <w:bookmarkEnd w:id="108"/>
    </w:p>
    <w:p w:rsidR="00E13C92" w:rsidRPr="00E13C92" w:rsidRDefault="00E13C92" w:rsidP="00E13C92"/>
    <w:p w:rsidR="00C32D91" w:rsidRPr="004D406F" w:rsidRDefault="00C32D91" w:rsidP="00902FEA">
      <w:pPr>
        <w:pStyle w:val="Titre2"/>
        <w:numPr>
          <w:ilvl w:val="0"/>
          <w:numId w:val="2"/>
        </w:numPr>
      </w:pPr>
      <w:bookmarkStart w:id="109" w:name="_Toc442390195"/>
      <w:bookmarkStart w:id="110" w:name="_Toc509490456"/>
      <w:r w:rsidRPr="004D406F">
        <w:t>L</w:t>
      </w:r>
      <w:bookmarkEnd w:id="109"/>
      <w:r w:rsidR="00BA39CE">
        <w:t>a dette propre</w:t>
      </w:r>
      <w:bookmarkEnd w:id="110"/>
    </w:p>
    <w:p w:rsidR="00373577" w:rsidRDefault="00373577" w:rsidP="00373577"/>
    <w:p w:rsidR="00373577" w:rsidRDefault="00373577" w:rsidP="00373577">
      <w:r w:rsidRPr="00C02A4E">
        <w:t>L’</w:t>
      </w:r>
      <w:r>
        <w:t>en</w:t>
      </w:r>
      <w:r w:rsidRPr="00C02A4E">
        <w:t xml:space="preserve">cours de dette consolidé d’Est Ensemble représentait </w:t>
      </w:r>
      <w:r w:rsidR="00B05B16">
        <w:t xml:space="preserve">87,5 </w:t>
      </w:r>
      <w:r>
        <w:t>M</w:t>
      </w:r>
      <w:r w:rsidRPr="00C02A4E">
        <w:t>€ au 3</w:t>
      </w:r>
      <w:r w:rsidR="00B05B16">
        <w:t>1 décembre 2017</w:t>
      </w:r>
      <w:r>
        <w:t xml:space="preserve">, en hausse de </w:t>
      </w:r>
      <w:r w:rsidR="00B05B16">
        <w:t>2</w:t>
      </w:r>
      <w:r>
        <w:t>5</w:t>
      </w:r>
      <w:r w:rsidRPr="00C02A4E">
        <w:t>% par rapport à 20</w:t>
      </w:r>
      <w:r w:rsidR="00B05B16">
        <w:t>16. Cette dette se répartit à 5</w:t>
      </w:r>
      <w:r>
        <w:t>8</w:t>
      </w:r>
      <w:r w:rsidR="00B05B16">
        <w:t>,7% sur le budget principal, 17</w:t>
      </w:r>
      <w:r w:rsidRPr="00C02A4E">
        <w:t xml:space="preserve">% sur le budget annexe d’assainissement </w:t>
      </w:r>
      <w:r w:rsidR="00B05B16">
        <w:t>et 24,3</w:t>
      </w:r>
      <w:r w:rsidRPr="00C02A4E">
        <w:t>% sur le budget annexe des projets d’aménagement.</w:t>
      </w:r>
    </w:p>
    <w:p w:rsidR="00373577" w:rsidRDefault="00373577" w:rsidP="00373577"/>
    <w:p w:rsidR="00373577" w:rsidRPr="00C02A4E" w:rsidRDefault="00373577" w:rsidP="00373577">
      <w:pPr>
        <w:jc w:val="center"/>
        <w:rPr>
          <w:b/>
          <w:szCs w:val="20"/>
          <w:u w:val="single"/>
        </w:rPr>
      </w:pPr>
      <w:r w:rsidRPr="00C02A4E">
        <w:rPr>
          <w:b/>
          <w:szCs w:val="20"/>
          <w:u w:val="single"/>
        </w:rPr>
        <w:t xml:space="preserve">Capital restant dû </w:t>
      </w:r>
      <w:r w:rsidR="005644DD">
        <w:rPr>
          <w:b/>
          <w:szCs w:val="20"/>
          <w:u w:val="single"/>
        </w:rPr>
        <w:t>au 31 décembre de chaque exercice</w:t>
      </w:r>
      <w:r w:rsidRPr="00C02A4E">
        <w:rPr>
          <w:b/>
          <w:szCs w:val="20"/>
          <w:u w:val="single"/>
        </w:rPr>
        <w:t> :</w:t>
      </w:r>
    </w:p>
    <w:p w:rsidR="00373577" w:rsidRDefault="005644DD" w:rsidP="00373577">
      <w:pPr>
        <w:jc w:val="center"/>
      </w:pPr>
      <w:r>
        <w:rPr>
          <w:noProof/>
          <w:lang w:eastAsia="fr-FR"/>
        </w:rPr>
        <w:drawing>
          <wp:inline distT="0" distB="0" distL="0" distR="0" wp14:anchorId="210114C4" wp14:editId="705377DE">
            <wp:extent cx="5971430" cy="3347499"/>
            <wp:effectExtent l="0" t="0" r="0" b="5715"/>
            <wp:docPr id="1" name="Graphique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73577" w:rsidRDefault="00373577" w:rsidP="00373577">
      <w:pPr>
        <w:jc w:val="center"/>
      </w:pPr>
    </w:p>
    <w:p w:rsidR="005644DD" w:rsidRDefault="005644DD" w:rsidP="005644DD">
      <w:pPr>
        <w:rPr>
          <w:rFonts w:cs="Arial"/>
        </w:rPr>
      </w:pPr>
      <w:r>
        <w:rPr>
          <w:rFonts w:cs="Arial"/>
        </w:rPr>
        <w:t>En 2017</w:t>
      </w:r>
      <w:r w:rsidRPr="002E1B21">
        <w:rPr>
          <w:rFonts w:cs="Arial"/>
        </w:rPr>
        <w:t xml:space="preserve">, Est Ensemble a </w:t>
      </w:r>
      <w:r>
        <w:rPr>
          <w:rFonts w:cs="Arial"/>
        </w:rPr>
        <w:t xml:space="preserve">mobilisé les </w:t>
      </w:r>
      <w:r w:rsidRPr="005644DD">
        <w:rPr>
          <w:rFonts w:cs="Arial"/>
          <w:u w:val="single"/>
        </w:rPr>
        <w:t>enveloppes contractées en 2016</w:t>
      </w:r>
      <w:r w:rsidRPr="002E1B21">
        <w:rPr>
          <w:rFonts w:cs="Arial"/>
        </w:rPr>
        <w:t xml:space="preserve"> sur </w:t>
      </w:r>
      <w:r>
        <w:rPr>
          <w:rFonts w:cs="Arial"/>
        </w:rPr>
        <w:t>ses trois budgets</w:t>
      </w:r>
      <w:r w:rsidRPr="002E1B21">
        <w:rPr>
          <w:rFonts w:cs="Arial"/>
        </w:rPr>
        <w:t xml:space="preserve"> </w:t>
      </w:r>
      <w:r>
        <w:rPr>
          <w:rFonts w:cs="Arial"/>
        </w:rPr>
        <w:t>pour les montants suivants :</w:t>
      </w:r>
    </w:p>
    <w:p w:rsidR="005644DD" w:rsidRDefault="005644DD" w:rsidP="005644DD">
      <w:pPr>
        <w:pStyle w:val="Paragraphedeliste"/>
        <w:numPr>
          <w:ilvl w:val="0"/>
          <w:numId w:val="36"/>
        </w:numPr>
        <w:rPr>
          <w:rFonts w:cs="Arial"/>
        </w:rPr>
      </w:pPr>
      <w:r>
        <w:rPr>
          <w:rFonts w:cs="Arial"/>
        </w:rPr>
        <w:t>7,8 M€ pour le budget principal</w:t>
      </w:r>
    </w:p>
    <w:p w:rsidR="005644DD" w:rsidRDefault="005644DD" w:rsidP="005644DD">
      <w:pPr>
        <w:pStyle w:val="Paragraphedeliste"/>
        <w:numPr>
          <w:ilvl w:val="0"/>
          <w:numId w:val="36"/>
        </w:numPr>
        <w:rPr>
          <w:rFonts w:cs="Arial"/>
        </w:rPr>
      </w:pPr>
      <w:r>
        <w:rPr>
          <w:rFonts w:cs="Arial"/>
        </w:rPr>
        <w:t>6,8 M€ pour le budget annexe des projets d’aménagement</w:t>
      </w:r>
    </w:p>
    <w:p w:rsidR="005644DD" w:rsidRDefault="005644DD" w:rsidP="005644DD">
      <w:pPr>
        <w:pStyle w:val="Paragraphedeliste"/>
        <w:numPr>
          <w:ilvl w:val="0"/>
          <w:numId w:val="36"/>
        </w:numPr>
        <w:rPr>
          <w:rFonts w:cs="Arial"/>
        </w:rPr>
      </w:pPr>
      <w:r>
        <w:rPr>
          <w:rFonts w:cs="Arial"/>
        </w:rPr>
        <w:t>3,3 M€ pour le budget annexe assainissement</w:t>
      </w:r>
    </w:p>
    <w:p w:rsidR="005644DD" w:rsidRDefault="005644DD" w:rsidP="005644DD">
      <w:r>
        <w:t>Ces 17,9 M€ d’emprunts souscrits en fin d’exercice 2016 correspondent aux emprunts suivants :</w:t>
      </w:r>
    </w:p>
    <w:p w:rsidR="005644DD" w:rsidRPr="005644DD" w:rsidRDefault="005644DD" w:rsidP="005644DD">
      <w:pPr>
        <w:pStyle w:val="Paragraphedeliste"/>
        <w:numPr>
          <w:ilvl w:val="0"/>
          <w:numId w:val="36"/>
        </w:numPr>
        <w:rPr>
          <w:rFonts w:cs="Arial"/>
        </w:rPr>
      </w:pPr>
      <w:r>
        <w:rPr>
          <w:rFonts w:cs="Arial"/>
        </w:rPr>
        <w:t>10M€ d’emprunt à taux fixe de 0,</w:t>
      </w:r>
      <w:r w:rsidRPr="005644DD">
        <w:rPr>
          <w:rFonts w:cs="Arial"/>
        </w:rPr>
        <w:t>85% sur 15 ans auprès du Crédit Coopératif</w:t>
      </w:r>
      <w:r w:rsidR="00B05B16">
        <w:rPr>
          <w:rFonts w:cs="Arial"/>
        </w:rPr>
        <w:t> ;</w:t>
      </w:r>
    </w:p>
    <w:p w:rsidR="005644DD" w:rsidRPr="005644DD" w:rsidRDefault="005644DD" w:rsidP="005644DD">
      <w:pPr>
        <w:pStyle w:val="Paragraphedeliste"/>
        <w:numPr>
          <w:ilvl w:val="0"/>
          <w:numId w:val="36"/>
        </w:numPr>
        <w:rPr>
          <w:rFonts w:cs="Arial"/>
        </w:rPr>
      </w:pPr>
      <w:r>
        <w:rPr>
          <w:rFonts w:cs="Arial"/>
        </w:rPr>
        <w:t>7,9M€ d’emprunt à taux fixe de 1,</w:t>
      </w:r>
      <w:r w:rsidRPr="005644DD">
        <w:rPr>
          <w:rFonts w:cs="Arial"/>
        </w:rPr>
        <w:t>04% sur 15 ans auprès de la Caisse d’Épargne d’Ile-de-France.</w:t>
      </w:r>
    </w:p>
    <w:p w:rsidR="005644DD" w:rsidRDefault="005644DD" w:rsidP="005644DD">
      <w:pPr>
        <w:rPr>
          <w:rFonts w:cs="Arial"/>
        </w:rPr>
      </w:pPr>
    </w:p>
    <w:p w:rsidR="005644DD" w:rsidRPr="00517D02" w:rsidRDefault="005644DD" w:rsidP="005644DD">
      <w:pPr>
        <w:rPr>
          <w:rFonts w:cs="Arial"/>
        </w:rPr>
      </w:pPr>
      <w:r>
        <w:rPr>
          <w:rFonts w:cs="Arial"/>
        </w:rPr>
        <w:t>Par ailleurs, afin d’équilibrer le budget annexe des projets d’aménagement, Est Ensemble a souscrit et mobilisé en décembre 2017 un nouvel emprunt avec La Banque Postale pour un montant de 4,0M€ au taux fixe de 1,04% sur 15 ans. Enfin, Est Ensemble a contracté 1,6 M€ d’emprunt à taux zéro auprès de l’agence de l’eau Seine-Normandie pour financer des travaux</w:t>
      </w:r>
      <w:r w:rsidR="000F660B" w:rsidRPr="000F660B">
        <w:t xml:space="preserve"> </w:t>
      </w:r>
      <w:r w:rsidR="000F660B">
        <w:t>dédiés aux investissements du budget annexe d’assainissement</w:t>
      </w:r>
      <w:r>
        <w:rPr>
          <w:rFonts w:cs="Arial"/>
        </w:rPr>
        <w:t>.</w:t>
      </w:r>
    </w:p>
    <w:p w:rsidR="005644DD" w:rsidRDefault="005644DD" w:rsidP="005644DD">
      <w:pPr>
        <w:rPr>
          <w:rFonts w:cs="Arial"/>
        </w:rPr>
      </w:pPr>
    </w:p>
    <w:p w:rsidR="005644DD" w:rsidRPr="000F660B" w:rsidRDefault="005644DD" w:rsidP="005644DD">
      <w:r>
        <w:rPr>
          <w:rFonts w:cs="Arial"/>
        </w:rPr>
        <w:t xml:space="preserve">Ainsi, les nouveaux emprunts sur l’année </w:t>
      </w:r>
      <w:r w:rsidR="000F660B">
        <w:rPr>
          <w:rFonts w:cs="Arial"/>
        </w:rPr>
        <w:t xml:space="preserve">2017 se sont élevés à +23,5 M€. </w:t>
      </w:r>
      <w:r w:rsidR="000F660B" w:rsidRPr="000F660B">
        <w:t xml:space="preserve">En parallèle, Est Ensemble a remboursé 5,9 M€ du capital emprunté en 2017. </w:t>
      </w:r>
      <w:r w:rsidRPr="000F660B">
        <w:rPr>
          <w:rFonts w:cs="Arial"/>
          <w:b/>
        </w:rPr>
        <w:t>L’encours a donc mécaniquement progressé de 17,5 M€ en 2017</w:t>
      </w:r>
      <w:r w:rsidRPr="000F660B">
        <w:rPr>
          <w:rFonts w:cs="Arial"/>
        </w:rPr>
        <w:t>.</w:t>
      </w:r>
    </w:p>
    <w:p w:rsidR="005644DD" w:rsidRDefault="005644DD" w:rsidP="00373577"/>
    <w:p w:rsidR="00094840" w:rsidRPr="007B0AA4" w:rsidRDefault="00094840" w:rsidP="009E6A42">
      <w:pPr>
        <w:pStyle w:val="Titre3"/>
        <w:numPr>
          <w:ilvl w:val="0"/>
          <w:numId w:val="29"/>
        </w:numPr>
      </w:pPr>
      <w:bookmarkStart w:id="111" w:name="_Toc509490457"/>
      <w:r w:rsidRPr="007B0AA4">
        <w:lastRenderedPageBreak/>
        <w:t>La composition de l’encours de dette (risque, nature, prêteurs)</w:t>
      </w:r>
      <w:bookmarkEnd w:id="111"/>
    </w:p>
    <w:p w:rsidR="00094840" w:rsidRDefault="00094840" w:rsidP="00094840"/>
    <w:p w:rsidR="00094840" w:rsidRDefault="00094840" w:rsidP="00094840">
      <w:r>
        <w:t xml:space="preserve">L’intégralité de la dette d’Est Ensemble est classée 1A au sens de la typologie de la charte de bonne conduite entre les établissements bancaires et les collectivités locales (appelé communément charte </w:t>
      </w:r>
      <w:proofErr w:type="spellStart"/>
      <w:r>
        <w:t>Gissler</w:t>
      </w:r>
      <w:proofErr w:type="spellEnd"/>
      <w:r>
        <w:t>) : cela correspond au niveau de risque le plus bas de cette charte.</w:t>
      </w:r>
    </w:p>
    <w:p w:rsidR="00094840" w:rsidRDefault="00094840" w:rsidP="00094840"/>
    <w:p w:rsidR="00094840" w:rsidRDefault="00094840" w:rsidP="00094840">
      <w:r>
        <w:t>Les nouveaux emprunts souscrits en 201</w:t>
      </w:r>
      <w:r w:rsidR="00602FD8">
        <w:t>7</w:t>
      </w:r>
      <w:r>
        <w:t xml:space="preserve"> ont </w:t>
      </w:r>
      <w:r w:rsidR="00602FD8">
        <w:t xml:space="preserve">légèrement </w:t>
      </w:r>
      <w:r>
        <w:t xml:space="preserve">fait augmenter la proportion de dette à taux fixe dans l’encours de dette d’Est Ensemble, </w:t>
      </w:r>
      <w:r w:rsidR="00602FD8">
        <w:t>passant de 51</w:t>
      </w:r>
      <w:r>
        <w:t>% en 201</w:t>
      </w:r>
      <w:r w:rsidR="00602FD8">
        <w:t>6</w:t>
      </w:r>
      <w:r>
        <w:t xml:space="preserve"> à 5</w:t>
      </w:r>
      <w:r w:rsidR="00602FD8">
        <w:t>3</w:t>
      </w:r>
      <w:r>
        <w:t>% en 201</w:t>
      </w:r>
      <w:r w:rsidR="00602FD8">
        <w:t>7</w:t>
      </w:r>
      <w:r>
        <w:t xml:space="preserve">. Si la dette à taux fixe occupe désormais une place prépondérante dans l’encours total, </w:t>
      </w:r>
      <w:r w:rsidR="00404253">
        <w:t xml:space="preserve">les conditions exceptionnelles de taux enregistrées ces dernières années ont permis malgré tout une vraie maîtrise du coût de la dette puisque le taux moyen des emprunts s’élevait </w:t>
      </w:r>
      <w:r w:rsidR="00602FD8">
        <w:t>à 1,71</w:t>
      </w:r>
      <w:r>
        <w:t>% en moyenne.</w:t>
      </w:r>
    </w:p>
    <w:p w:rsidR="00404253" w:rsidRDefault="00404253" w:rsidP="00094840"/>
    <w:p w:rsidR="00094840" w:rsidRPr="0018561F" w:rsidRDefault="00094840" w:rsidP="00094840">
      <w:pPr>
        <w:jc w:val="center"/>
        <w:rPr>
          <w:b/>
          <w:u w:val="single"/>
        </w:rPr>
      </w:pPr>
      <w:r>
        <w:rPr>
          <w:b/>
          <w:u w:val="single"/>
        </w:rPr>
        <w:t>Dette par type de ris</w:t>
      </w:r>
      <w:r w:rsidR="00970FD1">
        <w:rPr>
          <w:b/>
          <w:u w:val="single"/>
        </w:rPr>
        <w:t>que et par nature, au 31/12/2017</w:t>
      </w:r>
      <w:r w:rsidRPr="0018561F">
        <w:rPr>
          <w:b/>
          <w:u w:val="single"/>
        </w:rPr>
        <w:t> :</w:t>
      </w:r>
    </w:p>
    <w:p w:rsidR="00094840" w:rsidRDefault="00602FD8" w:rsidP="00404253">
      <w:r>
        <w:rPr>
          <w:noProof/>
          <w:lang w:eastAsia="fr-FR"/>
        </w:rPr>
        <w:drawing>
          <wp:anchor distT="0" distB="0" distL="114300" distR="114300" simplePos="0" relativeHeight="251676672" behindDoc="0" locked="0" layoutInCell="1" allowOverlap="1" wp14:anchorId="4448CF1B" wp14:editId="383E0BB0">
            <wp:simplePos x="0" y="0"/>
            <wp:positionH relativeFrom="column">
              <wp:posOffset>2665730</wp:posOffset>
            </wp:positionH>
            <wp:positionV relativeFrom="paragraph">
              <wp:posOffset>571500</wp:posOffset>
            </wp:positionV>
            <wp:extent cx="3466465" cy="1113155"/>
            <wp:effectExtent l="0" t="0" r="635"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66465" cy="1113155"/>
                    </a:xfrm>
                    <a:prstGeom prst="rect">
                      <a:avLst/>
                    </a:prstGeom>
                    <a:noFill/>
                    <a:ln>
                      <a:noFill/>
                    </a:ln>
                  </pic:spPr>
                </pic:pic>
              </a:graphicData>
            </a:graphic>
            <wp14:sizeRelH relativeFrom="page">
              <wp14:pctWidth>0</wp14:pctWidth>
            </wp14:sizeRelH>
            <wp14:sizeRelV relativeFrom="page">
              <wp14:pctHeight>0</wp14:pctHeight>
            </wp14:sizeRelV>
          </wp:anchor>
        </w:drawing>
      </w:r>
      <w:r w:rsidR="00DB5636">
        <w:rPr>
          <w:noProof/>
          <w:lang w:eastAsia="fr-FR"/>
        </w:rPr>
        <w:drawing>
          <wp:inline distT="0" distB="0" distL="0" distR="0" wp14:anchorId="7BABDDB4" wp14:editId="0B653256">
            <wp:extent cx="2894274" cy="2305878"/>
            <wp:effectExtent l="0" t="0" r="1905" b="0"/>
            <wp:docPr id="16" name="Graphique 1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94840" w:rsidRDefault="00094840" w:rsidP="00404253"/>
    <w:p w:rsidR="00094840" w:rsidRDefault="00094840" w:rsidP="00094840">
      <w:r>
        <w:t xml:space="preserve">La dette d’Est Ensemble est principalement contractée auprès de cinq établissements bancaires, dont la Caisse des </w:t>
      </w:r>
      <w:r w:rsidR="00602FD8">
        <w:t>Dépôts et Consignations à 25</w:t>
      </w:r>
      <w:r w:rsidR="00404253">
        <w:t xml:space="preserve">%, </w:t>
      </w:r>
      <w:r>
        <w:t>la Caiss</w:t>
      </w:r>
      <w:r w:rsidR="00602FD8">
        <w:t>e d’Épargne d’Ile-de-France à 20</w:t>
      </w:r>
      <w:r>
        <w:t>%,</w:t>
      </w:r>
      <w:r w:rsidR="00970FD1" w:rsidRPr="00970FD1">
        <w:t xml:space="preserve"> </w:t>
      </w:r>
      <w:r w:rsidR="00970FD1">
        <w:t xml:space="preserve">la Société de Financement Local (SFIL CAFFIL) à 18%, </w:t>
      </w:r>
      <w:r w:rsidR="001A153D">
        <w:t xml:space="preserve">le Crédit coopératif à 11%, </w:t>
      </w:r>
      <w:r>
        <w:t xml:space="preserve">le Crédit Agricole à </w:t>
      </w:r>
      <w:r w:rsidR="00602FD8">
        <w:t>6</w:t>
      </w:r>
      <w:r w:rsidR="001A153D">
        <w:t>% et</w:t>
      </w:r>
      <w:r>
        <w:t xml:space="preserve"> la CACEIS </w:t>
      </w:r>
      <w:r w:rsidR="00970FD1">
        <w:t>(filiale du Crédit Agricole) à 6</w:t>
      </w:r>
      <w:r>
        <w:t>%. Est Ensemble a également noué des partenariats avec d’autres prêteurs tels que l’Agence de l’Eau Seine Normandie qui accorde des Prêts à Taux Zéro (ou PTZ) sur les opérations d’investissement en matière d’assainissement collectif.</w:t>
      </w:r>
    </w:p>
    <w:p w:rsidR="00404253" w:rsidRPr="001A153D" w:rsidRDefault="00404253" w:rsidP="00094840">
      <w:pPr>
        <w:rPr>
          <w:sz w:val="14"/>
        </w:rPr>
      </w:pPr>
    </w:p>
    <w:p w:rsidR="00094840" w:rsidRPr="0039449E" w:rsidRDefault="00094840" w:rsidP="00094840">
      <w:pPr>
        <w:jc w:val="center"/>
        <w:rPr>
          <w:b/>
          <w:u w:val="single"/>
        </w:rPr>
      </w:pPr>
      <w:r w:rsidRPr="0039449E">
        <w:rPr>
          <w:b/>
          <w:u w:val="single"/>
        </w:rPr>
        <w:t>Dette par prêteur</w:t>
      </w:r>
      <w:r>
        <w:rPr>
          <w:b/>
          <w:u w:val="single"/>
        </w:rPr>
        <w:t xml:space="preserve"> au 31/12/201</w:t>
      </w:r>
      <w:r w:rsidR="00602FD8">
        <w:rPr>
          <w:b/>
          <w:u w:val="single"/>
        </w:rPr>
        <w:t>7</w:t>
      </w:r>
      <w:r>
        <w:rPr>
          <w:b/>
          <w:u w:val="single"/>
        </w:rPr>
        <w:t> :</w:t>
      </w:r>
    </w:p>
    <w:p w:rsidR="00094840" w:rsidRDefault="00602FD8" w:rsidP="00602FD8">
      <w:pPr>
        <w:jc w:val="center"/>
      </w:pPr>
      <w:r>
        <w:rPr>
          <w:noProof/>
          <w:lang w:eastAsia="fr-FR"/>
        </w:rPr>
        <w:drawing>
          <wp:inline distT="0" distB="0" distL="0" distR="0" wp14:anchorId="6828E537">
            <wp:extent cx="3204376" cy="2419258"/>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4">
                      <a:extLst>
                        <a:ext uri="{28A0092B-C50C-407E-A947-70E740481C1C}">
                          <a14:useLocalDpi xmlns:a14="http://schemas.microsoft.com/office/drawing/2010/main" val="0"/>
                        </a:ext>
                      </a:extLst>
                    </a:blip>
                    <a:srcRect l="6734" r="21568" b="7239"/>
                    <a:stretch/>
                  </pic:blipFill>
                  <pic:spPr bwMode="auto">
                    <a:xfrm>
                      <a:off x="0" y="0"/>
                      <a:ext cx="3201694" cy="2417233"/>
                    </a:xfrm>
                    <a:prstGeom prst="rect">
                      <a:avLst/>
                    </a:prstGeom>
                    <a:noFill/>
                    <a:ln>
                      <a:noFill/>
                    </a:ln>
                    <a:extLst>
                      <a:ext uri="{53640926-AAD7-44D8-BBD7-CCE9431645EC}">
                        <a14:shadowObscured xmlns:a14="http://schemas.microsoft.com/office/drawing/2010/main"/>
                      </a:ext>
                    </a:extLst>
                  </pic:spPr>
                </pic:pic>
              </a:graphicData>
            </a:graphic>
          </wp:inline>
        </w:drawing>
      </w:r>
    </w:p>
    <w:p w:rsidR="00C32D91" w:rsidRDefault="00BA39CE" w:rsidP="001F7A7D">
      <w:pPr>
        <w:pStyle w:val="Titre3"/>
      </w:pPr>
      <w:bookmarkStart w:id="112" w:name="_Toc509490458"/>
      <w:r>
        <w:lastRenderedPageBreak/>
        <w:t>Le profil d’extinction de la dette</w:t>
      </w:r>
      <w:bookmarkEnd w:id="112"/>
    </w:p>
    <w:p w:rsidR="00404253" w:rsidRDefault="00404253" w:rsidP="00404253">
      <w:bookmarkStart w:id="113" w:name="_Toc446084215"/>
      <w:bookmarkStart w:id="114" w:name="_Toc446084409"/>
      <w:bookmarkStart w:id="115" w:name="_Toc446084460"/>
      <w:bookmarkStart w:id="116" w:name="_Toc446403473"/>
      <w:bookmarkStart w:id="117" w:name="_Toc447272274"/>
      <w:bookmarkStart w:id="118" w:name="_Toc446084216"/>
      <w:bookmarkStart w:id="119" w:name="_Toc446084410"/>
      <w:bookmarkStart w:id="120" w:name="_Toc446084461"/>
      <w:bookmarkStart w:id="121" w:name="_Toc446403474"/>
      <w:bookmarkStart w:id="122" w:name="_Toc447272275"/>
      <w:bookmarkStart w:id="123" w:name="_Toc446084217"/>
      <w:bookmarkStart w:id="124" w:name="_Toc446084411"/>
      <w:bookmarkStart w:id="125" w:name="_Toc446084462"/>
      <w:bookmarkStart w:id="126" w:name="_Toc446403475"/>
      <w:bookmarkStart w:id="127" w:name="_Toc447272276"/>
      <w:bookmarkStart w:id="128" w:name="_Toc446084218"/>
      <w:bookmarkStart w:id="129" w:name="_Toc446084412"/>
      <w:bookmarkStart w:id="130" w:name="_Toc446084463"/>
      <w:bookmarkStart w:id="131" w:name="_Toc446403476"/>
      <w:bookmarkStart w:id="132" w:name="_Toc447272277"/>
      <w:bookmarkStart w:id="133" w:name="_Toc446084219"/>
      <w:bookmarkStart w:id="134" w:name="_Toc446084413"/>
      <w:bookmarkStart w:id="135" w:name="_Toc446084464"/>
      <w:bookmarkStart w:id="136" w:name="_Toc446403477"/>
      <w:bookmarkStart w:id="137" w:name="_Toc447272278"/>
      <w:bookmarkStart w:id="138" w:name="_Toc446084220"/>
      <w:bookmarkStart w:id="139" w:name="_Toc446084414"/>
      <w:bookmarkStart w:id="140" w:name="_Toc446084465"/>
      <w:bookmarkStart w:id="141" w:name="_Toc446403478"/>
      <w:bookmarkStart w:id="142" w:name="_Toc447272279"/>
      <w:bookmarkStart w:id="143" w:name="_Toc446403479"/>
      <w:bookmarkStart w:id="144" w:name="_Toc447272280"/>
      <w:bookmarkStart w:id="145" w:name="_Toc446403480"/>
      <w:bookmarkStart w:id="146" w:name="_Toc447272281"/>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rsidR="00404253" w:rsidRPr="003C52B8" w:rsidRDefault="00404253" w:rsidP="00404253">
      <w:r w:rsidRPr="003C52B8">
        <w:t xml:space="preserve">Le profil d’extinction de la dette permet de visualiser l’évolution de la charge de la dette supportée par les budgets d’Est Ensemble lors des prochaines années ; il renseigne également sur le stock de capital emprunté. </w:t>
      </w:r>
    </w:p>
    <w:p w:rsidR="001A153D" w:rsidRDefault="001A153D" w:rsidP="00404253">
      <w:pPr>
        <w:jc w:val="center"/>
        <w:rPr>
          <w:b/>
          <w:u w:val="single"/>
        </w:rPr>
      </w:pPr>
    </w:p>
    <w:p w:rsidR="00404253" w:rsidRPr="00AE515E" w:rsidRDefault="00404253" w:rsidP="00404253">
      <w:pPr>
        <w:jc w:val="center"/>
        <w:rPr>
          <w:b/>
          <w:u w:val="single"/>
        </w:rPr>
      </w:pPr>
      <w:r w:rsidRPr="00AE515E">
        <w:rPr>
          <w:b/>
          <w:u w:val="single"/>
        </w:rPr>
        <w:t>Profil d’extinction de la dette en début d’exercice</w:t>
      </w:r>
    </w:p>
    <w:p w:rsidR="00404253" w:rsidRPr="003C52B8" w:rsidRDefault="00970FD1" w:rsidP="00404253">
      <w:pPr>
        <w:jc w:val="center"/>
      </w:pPr>
      <w:r>
        <w:rPr>
          <w:noProof/>
          <w:lang w:eastAsia="fr-FR"/>
        </w:rPr>
        <w:drawing>
          <wp:inline distT="0" distB="0" distL="0" distR="0" wp14:anchorId="181A50F8" wp14:editId="2C9E71E8">
            <wp:extent cx="5971430" cy="2496709"/>
            <wp:effectExtent l="0" t="0" r="0" b="0"/>
            <wp:docPr id="38" name="Graphique 3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4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04253" w:rsidRDefault="00404253" w:rsidP="00404253"/>
    <w:p w:rsidR="00970FD1" w:rsidRDefault="00404253" w:rsidP="00404253">
      <w:r>
        <w:t xml:space="preserve">Établissement Public </w:t>
      </w:r>
      <w:r w:rsidR="00970FD1">
        <w:t>récemment constitué</w:t>
      </w:r>
      <w:r>
        <w:t>, Est Ensemble supporte une annuité de dette</w:t>
      </w:r>
      <w:r w:rsidRPr="00442870">
        <w:t xml:space="preserve"> encore contenu</w:t>
      </w:r>
      <w:r>
        <w:t>e au regard de ses ressources</w:t>
      </w:r>
      <w:r w:rsidRPr="00442870">
        <w:t xml:space="preserve">. </w:t>
      </w:r>
      <w:r>
        <w:t>En 201</w:t>
      </w:r>
      <w:r w:rsidR="00970FD1">
        <w:t>7</w:t>
      </w:r>
      <w:r>
        <w:t xml:space="preserve">, </w:t>
      </w:r>
      <w:r w:rsidRPr="007B0AA4">
        <w:t xml:space="preserve">l’amortissement du capital représentait </w:t>
      </w:r>
      <w:r w:rsidR="00970FD1">
        <w:t>5,9 </w:t>
      </w:r>
      <w:r w:rsidRPr="007B0AA4">
        <w:t>M€ auxquels se sont ajou</w:t>
      </w:r>
      <w:r w:rsidR="00970FD1">
        <w:t>tés 1,5 </w:t>
      </w:r>
      <w:r w:rsidRPr="007B0AA4">
        <w:t>M€ d’intérêts, soit</w:t>
      </w:r>
      <w:r w:rsidR="00970FD1">
        <w:t xml:space="preserve"> au total une annuité de dette 7,4 </w:t>
      </w:r>
      <w:r w:rsidRPr="007B0AA4">
        <w:t xml:space="preserve">M€. </w:t>
      </w:r>
    </w:p>
    <w:p w:rsidR="00970FD1" w:rsidRDefault="00970FD1" w:rsidP="00404253"/>
    <w:p w:rsidR="00404253" w:rsidRDefault="00404253" w:rsidP="005161E5">
      <w:r>
        <w:t xml:space="preserve">L’annuité de dette rapportée aux recettes réelles de fonctionnement (RRF) des trois budgets d’Est Ensemble (déduction faite des flux entre budgets et des dépenses du chapitre 014 constituées de reversements de fiscalité à la Métropole du Grand Paris), </w:t>
      </w:r>
      <w:r w:rsidR="005161E5">
        <w:t>s’élevait</w:t>
      </w:r>
      <w:r>
        <w:t xml:space="preserve"> </w:t>
      </w:r>
      <w:r w:rsidR="005161E5">
        <w:t>à</w:t>
      </w:r>
      <w:r>
        <w:t xml:space="preserve"> </w:t>
      </w:r>
      <w:r w:rsidR="005161E5">
        <w:t>5,0 % au CA 2017 contre 3,7% en 2016</w:t>
      </w:r>
      <w:r>
        <w:t>.</w:t>
      </w:r>
      <w:r w:rsidR="005161E5">
        <w:t xml:space="preserve"> On constate donc une légère dégradation de ce ratio.</w:t>
      </w:r>
      <w:r>
        <w:t xml:space="preserve"> </w:t>
      </w:r>
    </w:p>
    <w:p w:rsidR="005161E5" w:rsidRDefault="005161E5" w:rsidP="005161E5"/>
    <w:p w:rsidR="005161E5" w:rsidRDefault="005161E5" w:rsidP="005161E5">
      <w:r>
        <w:t>Par ailleurs, le taux d’endettement (qui rapporte l’encours de dette aux recettes réelles de fonctionnement) s’élève à 31,8%, soit un niveau tout à fait satisfaisant (le seuil d’alerte étant situé autour de 80% à 100%).</w:t>
      </w:r>
    </w:p>
    <w:p w:rsidR="00404253" w:rsidRPr="00A7575D" w:rsidRDefault="00404253" w:rsidP="00404253"/>
    <w:p w:rsidR="00BA39CE" w:rsidRPr="00BA39CE" w:rsidRDefault="00BA39CE" w:rsidP="00902FEA">
      <w:pPr>
        <w:pStyle w:val="Titre2"/>
      </w:pPr>
      <w:bookmarkStart w:id="147" w:name="_Toc509490459"/>
      <w:r>
        <w:t>La gestion de trésorerie</w:t>
      </w:r>
      <w:bookmarkEnd w:id="147"/>
    </w:p>
    <w:p w:rsidR="00404253" w:rsidRDefault="00404253" w:rsidP="00404253"/>
    <w:p w:rsidR="00404253" w:rsidRPr="005F712D" w:rsidRDefault="00404253" w:rsidP="00404253">
      <w:pPr>
        <w:jc w:val="center"/>
        <w:rPr>
          <w:b/>
          <w:u w:val="single"/>
        </w:rPr>
      </w:pPr>
      <w:r>
        <w:rPr>
          <w:b/>
          <w:u w:val="single"/>
        </w:rPr>
        <w:t>Évolution quotidienne de la trésorerie au cours de l’année 201</w:t>
      </w:r>
      <w:r w:rsidR="005161E5">
        <w:rPr>
          <w:b/>
          <w:u w:val="single"/>
        </w:rPr>
        <w:t>7</w:t>
      </w:r>
    </w:p>
    <w:p w:rsidR="00404253" w:rsidRDefault="005161E5" w:rsidP="00404253">
      <w:pPr>
        <w:jc w:val="center"/>
        <w:rPr>
          <w:b/>
          <w:u w:val="single"/>
        </w:rPr>
      </w:pPr>
      <w:r>
        <w:rPr>
          <w:noProof/>
          <w:lang w:eastAsia="fr-FR"/>
        </w:rPr>
        <w:drawing>
          <wp:inline distT="0" distB="0" distL="0" distR="0" wp14:anchorId="747CCFBD" wp14:editId="733A6903">
            <wp:extent cx="5972810" cy="1484630"/>
            <wp:effectExtent l="0" t="0" r="8890" b="1270"/>
            <wp:docPr id="11" name="Image 4"/>
            <wp:cNvGraphicFramePr/>
            <a:graphic xmlns:a="http://schemas.openxmlformats.org/drawingml/2006/main">
              <a:graphicData uri="http://schemas.openxmlformats.org/drawingml/2006/picture">
                <pic:pic xmlns:pic="http://schemas.openxmlformats.org/drawingml/2006/picture">
                  <pic:nvPicPr>
                    <pic:cNvPr id="3" name="Image 4"/>
                    <pic:cNvPicPr/>
                  </pic:nvPicPr>
                  <pic:blipFill>
                    <a:blip r:embed="rId56"/>
                    <a:srcRect/>
                    <a:stretch>
                      <a:fillRect/>
                    </a:stretch>
                  </pic:blipFill>
                  <pic:spPr>
                    <a:xfrm>
                      <a:off x="0" y="0"/>
                      <a:ext cx="5972810" cy="1484630"/>
                    </a:xfrm>
                    <a:prstGeom prst="rect">
                      <a:avLst/>
                    </a:prstGeom>
                    <a:noFill/>
                    <a:ln>
                      <a:noFill/>
                      <a:prstDash/>
                    </a:ln>
                  </pic:spPr>
                </pic:pic>
              </a:graphicData>
            </a:graphic>
          </wp:inline>
        </w:drawing>
      </w:r>
    </w:p>
    <w:p w:rsidR="009E6A42" w:rsidRDefault="009E6A42" w:rsidP="009E6A42"/>
    <w:p w:rsidR="005161E5" w:rsidRPr="005161E5" w:rsidRDefault="001A153D" w:rsidP="005161E5">
      <w:r>
        <w:t>L’exercice 2017</w:t>
      </w:r>
      <w:r w:rsidR="005161E5" w:rsidRPr="005161E5">
        <w:t xml:space="preserve"> a débuté avec un niveau de trésorerie relativement élevé, situé à 13M€. </w:t>
      </w:r>
    </w:p>
    <w:p w:rsidR="005161E5" w:rsidRPr="005161E5" w:rsidRDefault="005161E5" w:rsidP="009E6A42"/>
    <w:p w:rsidR="009E6A42" w:rsidRPr="005161E5" w:rsidRDefault="009E6A42" w:rsidP="009E6A42">
      <w:r w:rsidRPr="005161E5">
        <w:lastRenderedPageBreak/>
        <w:t>Les décaissements ont commencé réellement à compter de la 3</w:t>
      </w:r>
      <w:r w:rsidRPr="001A153D">
        <w:rPr>
          <w:vertAlign w:val="superscript"/>
        </w:rPr>
        <w:t>ème</w:t>
      </w:r>
      <w:r w:rsidR="001A153D">
        <w:t xml:space="preserve"> </w:t>
      </w:r>
      <w:r w:rsidRPr="005161E5">
        <w:t>semaine du mois de janvier, soit après la perception des avances versées par l’Etat ce qui a permis de maintenir un bon solde de trésorerie.</w:t>
      </w:r>
    </w:p>
    <w:p w:rsidR="009E6A42" w:rsidRPr="005161E5" w:rsidRDefault="009E6A42" w:rsidP="009E6A42"/>
    <w:p w:rsidR="009E6A42" w:rsidRPr="005161E5" w:rsidRDefault="009E6A42" w:rsidP="009E6A42">
      <w:r w:rsidRPr="005161E5">
        <w:t>Côté encaissements, les deux premiers ressauts observables en mars et en août correspondent à la mobilisation successives des deux emprunts contractés fin 2016 et inscrits en restes à réaliser au CA (7,9 M€ en mars, 10 M€ en août). En fin d’année, l’emprunt d’équilibre du budget annexe des projets d’aménagement a été mobilisé pour 4 M€.</w:t>
      </w:r>
    </w:p>
    <w:p w:rsidR="009E6A42" w:rsidRDefault="009E6A42" w:rsidP="009E6A42">
      <w:pPr>
        <w:rPr>
          <w:highlight w:val="yellow"/>
        </w:rPr>
      </w:pPr>
    </w:p>
    <w:p w:rsidR="009E6A42" w:rsidRPr="009E6A42" w:rsidRDefault="009E6A42" w:rsidP="009E6A42">
      <w:pPr>
        <w:jc w:val="center"/>
        <w:rPr>
          <w:highlight w:val="yellow"/>
        </w:rPr>
      </w:pPr>
      <w:r>
        <w:rPr>
          <w:noProof/>
          <w:lang w:eastAsia="fr-FR"/>
        </w:rPr>
        <w:drawing>
          <wp:inline distT="0" distB="0" distL="0" distR="0" wp14:anchorId="7B460C0F" wp14:editId="251C477D">
            <wp:extent cx="5121910" cy="2415540"/>
            <wp:effectExtent l="0" t="0" r="21590" b="22860"/>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161E5" w:rsidRDefault="005161E5" w:rsidP="009E6A42"/>
    <w:p w:rsidR="009E6A42" w:rsidRPr="005161E5" w:rsidRDefault="009E6A42" w:rsidP="009E6A42">
      <w:r w:rsidRPr="005161E5">
        <w:t xml:space="preserve">Côté décaissements, le volume moyen mensuel s’établit entre 20 et 23 M€ avec une rigidité importante liée à la dotation d’équilibre (10,6 M€ mensuels) et à la paie (environ 4M€). Il a connu trois ressauts au cours de l’exercice 2017 : en mai avec le rattrapage de plusieurs acomptes dus au SYCTOM, en juin avec le paiement des premières participations sur le budget annexe des projets d’aménagement, suivi en octobre d’une seconde vague de versement. </w:t>
      </w:r>
      <w:r w:rsidRPr="005161E5">
        <w:tab/>
      </w:r>
    </w:p>
    <w:p w:rsidR="009E6A42" w:rsidRPr="005161E5" w:rsidRDefault="009E6A42" w:rsidP="009E6A42"/>
    <w:p w:rsidR="009E6A42" w:rsidRPr="005161E5" w:rsidRDefault="009E6A42" w:rsidP="009E6A42">
      <w:r w:rsidRPr="005161E5">
        <w:t xml:space="preserve">La balance de sortie de la trésorerie s’établit à 17,4 M€. On constate ainsi un décalage entre le montant de la trésorerie et le montant du fonds de roulement, ce qui traduit un « besoin en fonds de roulement » lié notamment aux recettes de FCCT titrées mais non versées </w:t>
      </w:r>
      <w:r w:rsidR="000D6970">
        <w:t xml:space="preserve">par les communes </w:t>
      </w:r>
      <w:r w:rsidRPr="005161E5">
        <w:t>durant l’exercice à Est Ensemble.</w:t>
      </w:r>
    </w:p>
    <w:p w:rsidR="005161E5" w:rsidRPr="005161E5" w:rsidRDefault="005161E5" w:rsidP="009E6A42"/>
    <w:p w:rsidR="009E6A42" w:rsidRDefault="009E6A42" w:rsidP="009E6A42">
      <w:r w:rsidRPr="005161E5">
        <w:t>Le principal point de vigilance porte sur la réalisation du calendrier des flux liés à la Métropole du Grand Paris. En effet, le mandatement de la dotation d’équilibre intervient au 15 du mois pour un décaissement effectif aux alentours du 24 alors que les encaissements du FCCT, devant la compenser pour partie (solde négatif d’1 M€ mensuel), peuvent s’étaler jusqu’à la 2</w:t>
      </w:r>
      <w:r w:rsidRPr="000D6970">
        <w:rPr>
          <w:vertAlign w:val="superscript"/>
        </w:rPr>
        <w:t>ème</w:t>
      </w:r>
      <w:r w:rsidR="000D6970">
        <w:t xml:space="preserve"> </w:t>
      </w:r>
      <w:r w:rsidRPr="005161E5">
        <w:t>semaine du mois suivant. Ce constat pèse nécessairement sur notre trésorerie et oblige au maintien préventif d’une ligne de trésorerie.</w:t>
      </w:r>
    </w:p>
    <w:p w:rsidR="009E6A42" w:rsidRDefault="009E6A42" w:rsidP="00404253"/>
    <w:p w:rsidR="001D23B8" w:rsidRPr="004D406F" w:rsidRDefault="001D23B8" w:rsidP="00404253">
      <w:pPr>
        <w:rPr>
          <w:rFonts w:eastAsiaTheme="majorEastAsia" w:cs="Tahoma"/>
          <w:b/>
          <w:bCs/>
          <w:color w:val="CE003C"/>
          <w:u w:val="single"/>
        </w:rPr>
      </w:pPr>
    </w:p>
    <w:sectPr w:rsidR="001D23B8" w:rsidRPr="004D406F" w:rsidSect="00E31730">
      <w:headerReference w:type="first" r:id="rId58"/>
      <w:footerReference w:type="first" r:id="rId59"/>
      <w:pgSz w:w="11906" w:h="16838"/>
      <w:pgMar w:top="1418" w:right="1134" w:bottom="1134" w:left="1134" w:header="720" w:footer="113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509A" w:rsidRDefault="00C7509A" w:rsidP="00252BEC">
      <w:pPr>
        <w:spacing w:line="240" w:lineRule="auto"/>
      </w:pPr>
      <w:r>
        <w:separator/>
      </w:r>
    </w:p>
  </w:endnote>
  <w:endnote w:type="continuationSeparator" w:id="0">
    <w:p w:rsidR="00C7509A" w:rsidRDefault="00C7509A" w:rsidP="00252B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Arial Unicode MS"/>
    <w:charset w:val="80"/>
    <w:family w:val="auto"/>
    <w:pitch w:val="default"/>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altName w:val="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ntique Olive">
    <w:altName w:val="Corbel"/>
    <w:charset w:val="00"/>
    <w:family w:val="swiss"/>
    <w:pitch w:val="variable"/>
    <w:sig w:usb0="00000001"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09A" w:rsidRDefault="00C7509A" w:rsidP="00A51A6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C7509A" w:rsidRDefault="00C7509A" w:rsidP="003F2E42">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09A" w:rsidRDefault="00C7509A" w:rsidP="00A51A6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346491">
      <w:rPr>
        <w:rStyle w:val="Numrodepage"/>
        <w:noProof/>
      </w:rPr>
      <w:t>30</w:t>
    </w:r>
    <w:r>
      <w:rPr>
        <w:rStyle w:val="Numrodepage"/>
      </w:rPr>
      <w:fldChar w:fldCharType="end"/>
    </w:r>
  </w:p>
  <w:p w:rsidR="00C7509A" w:rsidRDefault="00C7509A" w:rsidP="00523E27">
    <w:pPr>
      <w:pStyle w:val="Pieddepag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0399723"/>
      <w:docPartObj>
        <w:docPartGallery w:val="Page Numbers (Bottom of Page)"/>
        <w:docPartUnique/>
      </w:docPartObj>
    </w:sdtPr>
    <w:sdtEndPr/>
    <w:sdtContent>
      <w:p w:rsidR="00C7509A" w:rsidRDefault="00C7509A">
        <w:pPr>
          <w:pStyle w:val="Pieddepage"/>
          <w:jc w:val="right"/>
        </w:pPr>
        <w:r>
          <w:fldChar w:fldCharType="begin"/>
        </w:r>
        <w:r>
          <w:instrText>PAGE   \* MERGEFORMAT</w:instrText>
        </w:r>
        <w:r>
          <w:fldChar w:fldCharType="separate"/>
        </w:r>
        <w:r w:rsidR="0019405A">
          <w:rPr>
            <w:noProof/>
          </w:rPr>
          <w:t>7</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628232"/>
      <w:docPartObj>
        <w:docPartGallery w:val="Page Numbers (Bottom of Page)"/>
        <w:docPartUnique/>
      </w:docPartObj>
    </w:sdtPr>
    <w:sdtEndPr/>
    <w:sdtContent>
      <w:p w:rsidR="00C7509A" w:rsidRDefault="00C7509A">
        <w:pPr>
          <w:pStyle w:val="Pieddepage"/>
          <w:jc w:val="right"/>
        </w:pPr>
        <w:r>
          <w:fldChar w:fldCharType="begin"/>
        </w:r>
        <w:r>
          <w:instrText>PAGE   \* MERGEFORMAT</w:instrText>
        </w:r>
        <w:r>
          <w:fldChar w:fldCharType="separate"/>
        </w:r>
        <w:r w:rsidR="0019405A">
          <w:rPr>
            <w:noProof/>
          </w:rPr>
          <w:t>8</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5461134"/>
      <w:docPartObj>
        <w:docPartGallery w:val="Page Numbers (Bottom of Page)"/>
        <w:docPartUnique/>
      </w:docPartObj>
    </w:sdtPr>
    <w:sdtEndPr/>
    <w:sdtContent>
      <w:p w:rsidR="00C7509A" w:rsidRDefault="00C7509A">
        <w:pPr>
          <w:pStyle w:val="Pieddepage"/>
          <w:jc w:val="right"/>
        </w:pPr>
        <w:r>
          <w:fldChar w:fldCharType="begin"/>
        </w:r>
        <w:r>
          <w:instrText>PAGE   \* MERGEFORMAT</w:instrText>
        </w:r>
        <w:r>
          <w:fldChar w:fldCharType="separate"/>
        </w:r>
        <w:r w:rsidR="0019405A">
          <w:rPr>
            <w:noProof/>
          </w:rPr>
          <w:t>10</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9683116"/>
      <w:docPartObj>
        <w:docPartGallery w:val="Page Numbers (Bottom of Page)"/>
        <w:docPartUnique/>
      </w:docPartObj>
    </w:sdtPr>
    <w:sdtEndPr/>
    <w:sdtContent>
      <w:p w:rsidR="00C7509A" w:rsidRDefault="00C7509A">
        <w:pPr>
          <w:pStyle w:val="Pieddepage"/>
          <w:jc w:val="right"/>
        </w:pPr>
        <w:r>
          <w:fldChar w:fldCharType="begin"/>
        </w:r>
        <w:r>
          <w:instrText>PAGE   \* MERGEFORMAT</w:instrText>
        </w:r>
        <w:r>
          <w:fldChar w:fldCharType="separate"/>
        </w:r>
        <w:r w:rsidR="0019405A">
          <w:rPr>
            <w:noProof/>
          </w:rPr>
          <w:t>11</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5962040"/>
      <w:docPartObj>
        <w:docPartGallery w:val="Page Numbers (Bottom of Page)"/>
        <w:docPartUnique/>
      </w:docPartObj>
    </w:sdtPr>
    <w:sdtEndPr/>
    <w:sdtContent>
      <w:p w:rsidR="00C7509A" w:rsidRDefault="00C7509A">
        <w:pPr>
          <w:pStyle w:val="Pieddepage"/>
          <w:jc w:val="right"/>
        </w:pPr>
        <w:r>
          <w:fldChar w:fldCharType="begin"/>
        </w:r>
        <w:r>
          <w:instrText>PAGE   \* MERGEFORMAT</w:instrText>
        </w:r>
        <w:r>
          <w:fldChar w:fldCharType="separate"/>
        </w:r>
        <w:r w:rsidR="0019405A">
          <w:rPr>
            <w:noProof/>
          </w:rPr>
          <w:t>13</w:t>
        </w:r>
        <w: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286762"/>
      <w:docPartObj>
        <w:docPartGallery w:val="Page Numbers (Bottom of Page)"/>
        <w:docPartUnique/>
      </w:docPartObj>
    </w:sdtPr>
    <w:sdtEndPr/>
    <w:sdtContent>
      <w:p w:rsidR="00C7509A" w:rsidRDefault="00C7509A">
        <w:pPr>
          <w:pStyle w:val="Pieddepage"/>
          <w:jc w:val="right"/>
        </w:pPr>
        <w:r>
          <w:fldChar w:fldCharType="begin"/>
        </w:r>
        <w:r>
          <w:instrText>PAGE   \* MERGEFORMAT</w:instrText>
        </w:r>
        <w:r>
          <w:fldChar w:fldCharType="separate"/>
        </w:r>
        <w:r w:rsidR="0019405A">
          <w:rPr>
            <w:noProof/>
          </w:rPr>
          <w:t>14</w:t>
        </w:r>
        <w:r>
          <w:fldChar w:fldCharType="end"/>
        </w:r>
      </w:p>
    </w:sdtContent>
  </w:sdt>
  <w:p w:rsidR="00C7509A" w:rsidRDefault="00C7509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09A" w:rsidRDefault="00C7509A" w:rsidP="00252BEC">
      <w:pPr>
        <w:spacing w:line="240" w:lineRule="auto"/>
      </w:pPr>
      <w:r>
        <w:separator/>
      </w:r>
    </w:p>
  </w:footnote>
  <w:footnote w:type="continuationSeparator" w:id="0">
    <w:p w:rsidR="00C7509A" w:rsidRDefault="00C7509A" w:rsidP="00252BEC">
      <w:pPr>
        <w:spacing w:line="240" w:lineRule="auto"/>
      </w:pPr>
      <w:r>
        <w:continuationSeparator/>
      </w:r>
    </w:p>
  </w:footnote>
  <w:footnote w:id="1">
    <w:p w:rsidR="00C7509A" w:rsidRDefault="00C7509A" w:rsidP="004C7391">
      <w:pPr>
        <w:pStyle w:val="Notedebasdepage"/>
      </w:pPr>
      <w:r>
        <w:rPr>
          <w:rStyle w:val="Appelnotedebasdep"/>
        </w:rPr>
        <w:footnoteRef/>
      </w:r>
      <w:r>
        <w:t xml:space="preserve"> </w:t>
      </w:r>
      <w:r w:rsidRPr="00021719">
        <w:rPr>
          <w:sz w:val="18"/>
        </w:rPr>
        <w:t>Source : rapport de l’observatoire des finances loca</w:t>
      </w:r>
      <w:r>
        <w:rPr>
          <w:sz w:val="18"/>
        </w:rPr>
        <w:t>les 2017</w:t>
      </w:r>
      <w:r w:rsidRPr="00021719">
        <w:rPr>
          <w:sz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09A" w:rsidRDefault="00C7509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09A" w:rsidRDefault="00C7509A">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09A" w:rsidRDefault="00C7509A">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09A" w:rsidRDefault="00C7509A">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09A" w:rsidRDefault="00C7509A">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09A" w:rsidRDefault="00C7509A">
    <w:pPr>
      <w:pStyle w:val="En-tte"/>
    </w:pPr>
  </w:p>
  <w:p w:rsidR="00C7509A" w:rsidRDefault="00C750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4487A80"/>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0000001"/>
    <w:multiLevelType w:val="multilevel"/>
    <w:tmpl w:val="00000001"/>
    <w:name w:val="WW8Num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
    <w:nsid w:val="00000008"/>
    <w:multiLevelType w:val="multilevel"/>
    <w:tmpl w:val="00000008"/>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6B216B8"/>
    <w:multiLevelType w:val="hybridMultilevel"/>
    <w:tmpl w:val="AA2037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7A345B"/>
    <w:multiLevelType w:val="hybridMultilevel"/>
    <w:tmpl w:val="18B8A0D2"/>
    <w:lvl w:ilvl="0" w:tplc="4B2EB94C">
      <w:start w:val="1"/>
      <w:numFmt w:val="upperLetter"/>
      <w:pStyle w:val="Titre2"/>
      <w:lvlText w:val="%1."/>
      <w:lvlJc w:val="left"/>
      <w:pPr>
        <w:ind w:left="2203" w:hanging="360"/>
      </w:pPr>
      <w:rPr>
        <w:rFonts w:hint="default"/>
      </w:rPr>
    </w:lvl>
    <w:lvl w:ilvl="1" w:tplc="040C0019" w:tentative="1">
      <w:start w:val="1"/>
      <w:numFmt w:val="lowerLetter"/>
      <w:lvlText w:val="%2."/>
      <w:lvlJc w:val="left"/>
      <w:pPr>
        <w:ind w:left="2923" w:hanging="360"/>
      </w:pPr>
    </w:lvl>
    <w:lvl w:ilvl="2" w:tplc="040C001B" w:tentative="1">
      <w:start w:val="1"/>
      <w:numFmt w:val="lowerRoman"/>
      <w:lvlText w:val="%3."/>
      <w:lvlJc w:val="right"/>
      <w:pPr>
        <w:ind w:left="3643" w:hanging="180"/>
      </w:pPr>
    </w:lvl>
    <w:lvl w:ilvl="3" w:tplc="040C000F" w:tentative="1">
      <w:start w:val="1"/>
      <w:numFmt w:val="decimal"/>
      <w:lvlText w:val="%4."/>
      <w:lvlJc w:val="left"/>
      <w:pPr>
        <w:ind w:left="4363" w:hanging="360"/>
      </w:pPr>
    </w:lvl>
    <w:lvl w:ilvl="4" w:tplc="040C0019" w:tentative="1">
      <w:start w:val="1"/>
      <w:numFmt w:val="lowerLetter"/>
      <w:lvlText w:val="%5."/>
      <w:lvlJc w:val="left"/>
      <w:pPr>
        <w:ind w:left="5083" w:hanging="360"/>
      </w:pPr>
    </w:lvl>
    <w:lvl w:ilvl="5" w:tplc="040C001B" w:tentative="1">
      <w:start w:val="1"/>
      <w:numFmt w:val="lowerRoman"/>
      <w:lvlText w:val="%6."/>
      <w:lvlJc w:val="right"/>
      <w:pPr>
        <w:ind w:left="5803" w:hanging="180"/>
      </w:pPr>
    </w:lvl>
    <w:lvl w:ilvl="6" w:tplc="040C000F" w:tentative="1">
      <w:start w:val="1"/>
      <w:numFmt w:val="decimal"/>
      <w:lvlText w:val="%7."/>
      <w:lvlJc w:val="left"/>
      <w:pPr>
        <w:ind w:left="6523" w:hanging="360"/>
      </w:pPr>
    </w:lvl>
    <w:lvl w:ilvl="7" w:tplc="040C0019" w:tentative="1">
      <w:start w:val="1"/>
      <w:numFmt w:val="lowerLetter"/>
      <w:lvlText w:val="%8."/>
      <w:lvlJc w:val="left"/>
      <w:pPr>
        <w:ind w:left="7243" w:hanging="360"/>
      </w:pPr>
    </w:lvl>
    <w:lvl w:ilvl="8" w:tplc="040C001B" w:tentative="1">
      <w:start w:val="1"/>
      <w:numFmt w:val="lowerRoman"/>
      <w:lvlText w:val="%9."/>
      <w:lvlJc w:val="right"/>
      <w:pPr>
        <w:ind w:left="7963" w:hanging="180"/>
      </w:pPr>
    </w:lvl>
  </w:abstractNum>
  <w:abstractNum w:abstractNumId="5">
    <w:nsid w:val="13363DBC"/>
    <w:multiLevelType w:val="hybridMultilevel"/>
    <w:tmpl w:val="660E7F2C"/>
    <w:lvl w:ilvl="0" w:tplc="0C72B2B6">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83B4C59"/>
    <w:multiLevelType w:val="hybridMultilevel"/>
    <w:tmpl w:val="A088F4BA"/>
    <w:lvl w:ilvl="0" w:tplc="2C2887F2">
      <w:start w:val="1"/>
      <w:numFmt w:val="lowerLetter"/>
      <w:pStyle w:val="Titre4"/>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5021351"/>
    <w:multiLevelType w:val="hybridMultilevel"/>
    <w:tmpl w:val="63226E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07B51D0"/>
    <w:multiLevelType w:val="hybridMultilevel"/>
    <w:tmpl w:val="A2C049B2"/>
    <w:lvl w:ilvl="0" w:tplc="C0C4B148">
      <w:start w:val="1"/>
      <w:numFmt w:val="bullet"/>
      <w:pStyle w:val="Listecouleur-Accent11"/>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nsid w:val="56C8027B"/>
    <w:multiLevelType w:val="hybridMultilevel"/>
    <w:tmpl w:val="A1640F7E"/>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10">
    <w:nsid w:val="5CDF19B5"/>
    <w:multiLevelType w:val="hybridMultilevel"/>
    <w:tmpl w:val="90301384"/>
    <w:lvl w:ilvl="0" w:tplc="B51C8408">
      <w:start w:val="1"/>
      <w:numFmt w:val="decimal"/>
      <w:pStyle w:val="Titre3"/>
      <w:lvlText w:val="%1."/>
      <w:lvlJc w:val="left"/>
      <w:pPr>
        <w:ind w:left="720" w:hanging="36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5FD37CA1"/>
    <w:multiLevelType w:val="hybridMultilevel"/>
    <w:tmpl w:val="0ADCDCAC"/>
    <w:lvl w:ilvl="0" w:tplc="E960C7F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13C092A"/>
    <w:multiLevelType w:val="hybridMultilevel"/>
    <w:tmpl w:val="8D8478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E2B3D90"/>
    <w:multiLevelType w:val="hybridMultilevel"/>
    <w:tmpl w:val="031215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4121A03"/>
    <w:multiLevelType w:val="hybridMultilevel"/>
    <w:tmpl w:val="3A5C34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94D4F22"/>
    <w:multiLevelType w:val="hybridMultilevel"/>
    <w:tmpl w:val="319EDD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4"/>
    <w:lvlOverride w:ilvl="0">
      <w:startOverride w:val="1"/>
    </w:lvlOverride>
  </w:num>
  <w:num w:numId="3">
    <w:abstractNumId w:val="10"/>
    <w:lvlOverride w:ilvl="0">
      <w:startOverride w:val="1"/>
    </w:lvlOverride>
  </w:num>
  <w:num w:numId="4">
    <w:abstractNumId w:val="10"/>
    <w:lvlOverride w:ilvl="0">
      <w:startOverride w:val="1"/>
    </w:lvlOverride>
  </w:num>
  <w:num w:numId="5">
    <w:abstractNumId w:val="4"/>
  </w:num>
  <w:num w:numId="6">
    <w:abstractNumId w:val="10"/>
  </w:num>
  <w:num w:numId="7">
    <w:abstractNumId w:val="6"/>
  </w:num>
  <w:num w:numId="8">
    <w:abstractNumId w:val="10"/>
    <w:lvlOverride w:ilvl="0">
      <w:startOverride w:val="1"/>
    </w:lvlOverride>
  </w:num>
  <w:num w:numId="9">
    <w:abstractNumId w:val="6"/>
    <w:lvlOverride w:ilvl="0">
      <w:startOverride w:val="1"/>
    </w:lvlOverride>
  </w:num>
  <w:num w:numId="10">
    <w:abstractNumId w:val="10"/>
    <w:lvlOverride w:ilvl="0">
      <w:startOverride w:val="1"/>
    </w:lvlOverride>
  </w:num>
  <w:num w:numId="11">
    <w:abstractNumId w:val="6"/>
    <w:lvlOverride w:ilvl="0">
      <w:startOverride w:val="1"/>
    </w:lvlOverride>
  </w:num>
  <w:num w:numId="12">
    <w:abstractNumId w:val="6"/>
    <w:lvlOverride w:ilvl="0">
      <w:startOverride w:val="1"/>
    </w:lvlOverride>
  </w:num>
  <w:num w:numId="13">
    <w:abstractNumId w:val="6"/>
    <w:lvlOverride w:ilvl="0">
      <w:startOverride w:val="1"/>
    </w:lvlOverride>
  </w:num>
  <w:num w:numId="14">
    <w:abstractNumId w:val="6"/>
  </w:num>
  <w:num w:numId="15">
    <w:abstractNumId w:val="6"/>
    <w:lvlOverride w:ilvl="0">
      <w:startOverride w:val="1"/>
    </w:lvlOverride>
  </w:num>
  <w:num w:numId="16">
    <w:abstractNumId w:val="6"/>
    <w:lvlOverride w:ilvl="0">
      <w:startOverride w:val="1"/>
    </w:lvlOverride>
  </w:num>
  <w:num w:numId="17">
    <w:abstractNumId w:val="10"/>
    <w:lvlOverride w:ilvl="0">
      <w:startOverride w:val="1"/>
    </w:lvlOverride>
  </w:num>
  <w:num w:numId="18">
    <w:abstractNumId w:val="10"/>
    <w:lvlOverride w:ilvl="0">
      <w:startOverride w:val="1"/>
    </w:lvlOverride>
  </w:num>
  <w:num w:numId="19">
    <w:abstractNumId w:val="8"/>
  </w:num>
  <w:num w:numId="20">
    <w:abstractNumId w:val="11"/>
  </w:num>
  <w:num w:numId="21">
    <w:abstractNumId w:val="3"/>
  </w:num>
  <w:num w:numId="22">
    <w:abstractNumId w:val="4"/>
    <w:lvlOverride w:ilvl="0">
      <w:startOverride w:val="1"/>
    </w:lvlOverride>
  </w:num>
  <w:num w:numId="23">
    <w:abstractNumId w:val="7"/>
  </w:num>
  <w:num w:numId="24">
    <w:abstractNumId w:val="4"/>
    <w:lvlOverride w:ilvl="0">
      <w:startOverride w:val="1"/>
    </w:lvlOverride>
  </w:num>
  <w:num w:numId="25">
    <w:abstractNumId w:val="6"/>
    <w:lvlOverride w:ilvl="0">
      <w:startOverride w:val="1"/>
    </w:lvlOverride>
  </w:num>
  <w:num w:numId="26">
    <w:abstractNumId w:val="10"/>
    <w:lvlOverride w:ilvl="0">
      <w:startOverride w:val="1"/>
    </w:lvlOverride>
  </w:num>
  <w:num w:numId="27">
    <w:abstractNumId w:val="6"/>
    <w:lvlOverride w:ilvl="0">
      <w:startOverride w:val="1"/>
    </w:lvlOverride>
  </w:num>
  <w:num w:numId="28">
    <w:abstractNumId w:val="4"/>
    <w:lvlOverride w:ilvl="0">
      <w:startOverride w:val="1"/>
    </w:lvlOverride>
  </w:num>
  <w:num w:numId="29">
    <w:abstractNumId w:val="10"/>
    <w:lvlOverride w:ilvl="0">
      <w:startOverride w:val="1"/>
    </w:lvlOverride>
  </w:num>
  <w:num w:numId="30">
    <w:abstractNumId w:val="12"/>
  </w:num>
  <w:num w:numId="31">
    <w:abstractNumId w:val="13"/>
  </w:num>
  <w:num w:numId="32">
    <w:abstractNumId w:val="14"/>
  </w:num>
  <w:num w:numId="33">
    <w:abstractNumId w:val="15"/>
  </w:num>
  <w:num w:numId="34">
    <w:abstractNumId w:val="6"/>
    <w:lvlOverride w:ilvl="0">
      <w:startOverride w:val="1"/>
    </w:lvlOverride>
  </w:num>
  <w:num w:numId="35">
    <w:abstractNumId w:val="9"/>
  </w:num>
  <w:num w:numId="36">
    <w:abstractNumId w:val="5"/>
  </w:num>
  <w:num w:numId="37">
    <w:abstractNumId w:val="10"/>
    <w:lvlOverride w:ilvl="0">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B74"/>
    <w:rsid w:val="0000212C"/>
    <w:rsid w:val="00002332"/>
    <w:rsid w:val="00004644"/>
    <w:rsid w:val="00004E69"/>
    <w:rsid w:val="0000633B"/>
    <w:rsid w:val="00006473"/>
    <w:rsid w:val="00010E2D"/>
    <w:rsid w:val="00011029"/>
    <w:rsid w:val="00012206"/>
    <w:rsid w:val="00014170"/>
    <w:rsid w:val="00014424"/>
    <w:rsid w:val="00014A44"/>
    <w:rsid w:val="00015B4E"/>
    <w:rsid w:val="00015EDF"/>
    <w:rsid w:val="00016C43"/>
    <w:rsid w:val="00020EB8"/>
    <w:rsid w:val="00021051"/>
    <w:rsid w:val="00021719"/>
    <w:rsid w:val="00022240"/>
    <w:rsid w:val="00023455"/>
    <w:rsid w:val="00024CC6"/>
    <w:rsid w:val="0002536A"/>
    <w:rsid w:val="000267D8"/>
    <w:rsid w:val="00027D49"/>
    <w:rsid w:val="0003081F"/>
    <w:rsid w:val="0003090B"/>
    <w:rsid w:val="00030B07"/>
    <w:rsid w:val="00032E30"/>
    <w:rsid w:val="00033CB3"/>
    <w:rsid w:val="000346D8"/>
    <w:rsid w:val="00034B01"/>
    <w:rsid w:val="00036094"/>
    <w:rsid w:val="00036101"/>
    <w:rsid w:val="0003614B"/>
    <w:rsid w:val="00036222"/>
    <w:rsid w:val="0003646F"/>
    <w:rsid w:val="00036F13"/>
    <w:rsid w:val="000371D9"/>
    <w:rsid w:val="00037855"/>
    <w:rsid w:val="00037D1D"/>
    <w:rsid w:val="00041CF7"/>
    <w:rsid w:val="00042705"/>
    <w:rsid w:val="00043996"/>
    <w:rsid w:val="00044FC3"/>
    <w:rsid w:val="000457D1"/>
    <w:rsid w:val="0004589C"/>
    <w:rsid w:val="00046EE3"/>
    <w:rsid w:val="0004723A"/>
    <w:rsid w:val="000530A6"/>
    <w:rsid w:val="00053E77"/>
    <w:rsid w:val="00053EE7"/>
    <w:rsid w:val="00055BD3"/>
    <w:rsid w:val="000567F0"/>
    <w:rsid w:val="00056E00"/>
    <w:rsid w:val="00062D25"/>
    <w:rsid w:val="00064377"/>
    <w:rsid w:val="00064F9F"/>
    <w:rsid w:val="00067AA5"/>
    <w:rsid w:val="0007031E"/>
    <w:rsid w:val="000703BA"/>
    <w:rsid w:val="00070931"/>
    <w:rsid w:val="00070AF8"/>
    <w:rsid w:val="00071801"/>
    <w:rsid w:val="00071D0E"/>
    <w:rsid w:val="00072D9D"/>
    <w:rsid w:val="00073CDC"/>
    <w:rsid w:val="00074410"/>
    <w:rsid w:val="000757FA"/>
    <w:rsid w:val="000761D9"/>
    <w:rsid w:val="000765B5"/>
    <w:rsid w:val="0007665A"/>
    <w:rsid w:val="000768F9"/>
    <w:rsid w:val="00077720"/>
    <w:rsid w:val="00077756"/>
    <w:rsid w:val="00077CB1"/>
    <w:rsid w:val="000827B7"/>
    <w:rsid w:val="00083E52"/>
    <w:rsid w:val="00085BB7"/>
    <w:rsid w:val="000867DD"/>
    <w:rsid w:val="0008742F"/>
    <w:rsid w:val="00087BB5"/>
    <w:rsid w:val="000928DA"/>
    <w:rsid w:val="00093501"/>
    <w:rsid w:val="00093910"/>
    <w:rsid w:val="0009450A"/>
    <w:rsid w:val="00094840"/>
    <w:rsid w:val="00095109"/>
    <w:rsid w:val="000953C1"/>
    <w:rsid w:val="000967F0"/>
    <w:rsid w:val="000979CC"/>
    <w:rsid w:val="000A1336"/>
    <w:rsid w:val="000A4958"/>
    <w:rsid w:val="000A72EE"/>
    <w:rsid w:val="000B0061"/>
    <w:rsid w:val="000B03BD"/>
    <w:rsid w:val="000B054C"/>
    <w:rsid w:val="000B0B08"/>
    <w:rsid w:val="000B1537"/>
    <w:rsid w:val="000B1C53"/>
    <w:rsid w:val="000B3DC1"/>
    <w:rsid w:val="000B4AD6"/>
    <w:rsid w:val="000B508B"/>
    <w:rsid w:val="000B6CAA"/>
    <w:rsid w:val="000B7B80"/>
    <w:rsid w:val="000C0D84"/>
    <w:rsid w:val="000C1ACF"/>
    <w:rsid w:val="000C268E"/>
    <w:rsid w:val="000C420E"/>
    <w:rsid w:val="000C505A"/>
    <w:rsid w:val="000C5117"/>
    <w:rsid w:val="000C5201"/>
    <w:rsid w:val="000C603D"/>
    <w:rsid w:val="000C74FF"/>
    <w:rsid w:val="000D111A"/>
    <w:rsid w:val="000D1A54"/>
    <w:rsid w:val="000D2146"/>
    <w:rsid w:val="000D45B9"/>
    <w:rsid w:val="000D4F7B"/>
    <w:rsid w:val="000D4FD5"/>
    <w:rsid w:val="000D5977"/>
    <w:rsid w:val="000D6970"/>
    <w:rsid w:val="000D73B3"/>
    <w:rsid w:val="000D7D67"/>
    <w:rsid w:val="000E189A"/>
    <w:rsid w:val="000E27F4"/>
    <w:rsid w:val="000E496B"/>
    <w:rsid w:val="000E553E"/>
    <w:rsid w:val="000E5CE0"/>
    <w:rsid w:val="000E6774"/>
    <w:rsid w:val="000E7748"/>
    <w:rsid w:val="000F0E16"/>
    <w:rsid w:val="000F2C2A"/>
    <w:rsid w:val="000F2CDC"/>
    <w:rsid w:val="000F453C"/>
    <w:rsid w:val="000F4B6C"/>
    <w:rsid w:val="000F4F13"/>
    <w:rsid w:val="000F638D"/>
    <w:rsid w:val="000F660B"/>
    <w:rsid w:val="000F79F0"/>
    <w:rsid w:val="000F7EB4"/>
    <w:rsid w:val="001010C5"/>
    <w:rsid w:val="0010224B"/>
    <w:rsid w:val="001039EF"/>
    <w:rsid w:val="00103AA5"/>
    <w:rsid w:val="0010431F"/>
    <w:rsid w:val="00104CAB"/>
    <w:rsid w:val="00105A17"/>
    <w:rsid w:val="00106177"/>
    <w:rsid w:val="00107598"/>
    <w:rsid w:val="00107A6A"/>
    <w:rsid w:val="00107AC5"/>
    <w:rsid w:val="00107EC6"/>
    <w:rsid w:val="00113C20"/>
    <w:rsid w:val="001147FF"/>
    <w:rsid w:val="00117587"/>
    <w:rsid w:val="0012184D"/>
    <w:rsid w:val="0012195A"/>
    <w:rsid w:val="001219F0"/>
    <w:rsid w:val="00121D2E"/>
    <w:rsid w:val="001221F0"/>
    <w:rsid w:val="0012293F"/>
    <w:rsid w:val="00124510"/>
    <w:rsid w:val="00124890"/>
    <w:rsid w:val="00124D5F"/>
    <w:rsid w:val="00125004"/>
    <w:rsid w:val="00130C42"/>
    <w:rsid w:val="00130C4C"/>
    <w:rsid w:val="00134589"/>
    <w:rsid w:val="00135B22"/>
    <w:rsid w:val="00135DE0"/>
    <w:rsid w:val="001376A6"/>
    <w:rsid w:val="00137C13"/>
    <w:rsid w:val="00141DB5"/>
    <w:rsid w:val="00142483"/>
    <w:rsid w:val="0014277B"/>
    <w:rsid w:val="001433B9"/>
    <w:rsid w:val="0014344A"/>
    <w:rsid w:val="0014620A"/>
    <w:rsid w:val="001462F5"/>
    <w:rsid w:val="0014700E"/>
    <w:rsid w:val="00147ED5"/>
    <w:rsid w:val="00150865"/>
    <w:rsid w:val="00151440"/>
    <w:rsid w:val="00151D38"/>
    <w:rsid w:val="0015405A"/>
    <w:rsid w:val="00154513"/>
    <w:rsid w:val="001546D9"/>
    <w:rsid w:val="001549DB"/>
    <w:rsid w:val="001555BC"/>
    <w:rsid w:val="00155AA9"/>
    <w:rsid w:val="00156064"/>
    <w:rsid w:val="0015620A"/>
    <w:rsid w:val="001563C8"/>
    <w:rsid w:val="00156B26"/>
    <w:rsid w:val="00156D77"/>
    <w:rsid w:val="0016106F"/>
    <w:rsid w:val="00161489"/>
    <w:rsid w:val="00161FC3"/>
    <w:rsid w:val="0016288C"/>
    <w:rsid w:val="00162893"/>
    <w:rsid w:val="0016724A"/>
    <w:rsid w:val="001732D5"/>
    <w:rsid w:val="00173AF0"/>
    <w:rsid w:val="001754EA"/>
    <w:rsid w:val="00176911"/>
    <w:rsid w:val="00177E89"/>
    <w:rsid w:val="001802E5"/>
    <w:rsid w:val="00184113"/>
    <w:rsid w:val="001842CC"/>
    <w:rsid w:val="00185ACB"/>
    <w:rsid w:val="00186599"/>
    <w:rsid w:val="00186AB1"/>
    <w:rsid w:val="00186E8E"/>
    <w:rsid w:val="00187755"/>
    <w:rsid w:val="00187C2E"/>
    <w:rsid w:val="00191D15"/>
    <w:rsid w:val="00193067"/>
    <w:rsid w:val="0019405A"/>
    <w:rsid w:val="00194480"/>
    <w:rsid w:val="00194947"/>
    <w:rsid w:val="001950AE"/>
    <w:rsid w:val="001950E3"/>
    <w:rsid w:val="00196767"/>
    <w:rsid w:val="00197539"/>
    <w:rsid w:val="001977CA"/>
    <w:rsid w:val="001A0399"/>
    <w:rsid w:val="001A0716"/>
    <w:rsid w:val="001A153D"/>
    <w:rsid w:val="001A26A7"/>
    <w:rsid w:val="001A3CDB"/>
    <w:rsid w:val="001A3E1B"/>
    <w:rsid w:val="001A498E"/>
    <w:rsid w:val="001A53BB"/>
    <w:rsid w:val="001A5EF9"/>
    <w:rsid w:val="001A6D2C"/>
    <w:rsid w:val="001A7D97"/>
    <w:rsid w:val="001B0CA8"/>
    <w:rsid w:val="001B17E7"/>
    <w:rsid w:val="001B1BCD"/>
    <w:rsid w:val="001B1C27"/>
    <w:rsid w:val="001B234C"/>
    <w:rsid w:val="001B24FB"/>
    <w:rsid w:val="001B4C5D"/>
    <w:rsid w:val="001B5F01"/>
    <w:rsid w:val="001B6351"/>
    <w:rsid w:val="001B7AEC"/>
    <w:rsid w:val="001C0749"/>
    <w:rsid w:val="001C0F08"/>
    <w:rsid w:val="001C0F22"/>
    <w:rsid w:val="001C251B"/>
    <w:rsid w:val="001C2BE3"/>
    <w:rsid w:val="001C43B9"/>
    <w:rsid w:val="001C4BEA"/>
    <w:rsid w:val="001C759D"/>
    <w:rsid w:val="001D07B9"/>
    <w:rsid w:val="001D0E58"/>
    <w:rsid w:val="001D1EAC"/>
    <w:rsid w:val="001D1EAE"/>
    <w:rsid w:val="001D23B8"/>
    <w:rsid w:val="001D2568"/>
    <w:rsid w:val="001D29E2"/>
    <w:rsid w:val="001D3EF2"/>
    <w:rsid w:val="001D4E41"/>
    <w:rsid w:val="001D52CC"/>
    <w:rsid w:val="001D57B2"/>
    <w:rsid w:val="001D666A"/>
    <w:rsid w:val="001D67D5"/>
    <w:rsid w:val="001D722E"/>
    <w:rsid w:val="001D7A69"/>
    <w:rsid w:val="001E0DE4"/>
    <w:rsid w:val="001E2F08"/>
    <w:rsid w:val="001E3C47"/>
    <w:rsid w:val="001E7692"/>
    <w:rsid w:val="001E7AC7"/>
    <w:rsid w:val="001F184E"/>
    <w:rsid w:val="001F31CA"/>
    <w:rsid w:val="001F4928"/>
    <w:rsid w:val="001F4C60"/>
    <w:rsid w:val="001F52AA"/>
    <w:rsid w:val="001F7A7D"/>
    <w:rsid w:val="00200744"/>
    <w:rsid w:val="0020116E"/>
    <w:rsid w:val="00201BB1"/>
    <w:rsid w:val="00202721"/>
    <w:rsid w:val="00202DEF"/>
    <w:rsid w:val="0020643B"/>
    <w:rsid w:val="0022065A"/>
    <w:rsid w:val="00221D5B"/>
    <w:rsid w:val="00221DB3"/>
    <w:rsid w:val="00221FAE"/>
    <w:rsid w:val="0022376C"/>
    <w:rsid w:val="002255B6"/>
    <w:rsid w:val="00226287"/>
    <w:rsid w:val="00226890"/>
    <w:rsid w:val="00227683"/>
    <w:rsid w:val="00231BBD"/>
    <w:rsid w:val="00232F4E"/>
    <w:rsid w:val="002354AE"/>
    <w:rsid w:val="00235FAB"/>
    <w:rsid w:val="0023633E"/>
    <w:rsid w:val="00236A32"/>
    <w:rsid w:val="00236B1C"/>
    <w:rsid w:val="00237220"/>
    <w:rsid w:val="00237FC6"/>
    <w:rsid w:val="00240EA1"/>
    <w:rsid w:val="00243716"/>
    <w:rsid w:val="00243A82"/>
    <w:rsid w:val="0024555F"/>
    <w:rsid w:val="0024693F"/>
    <w:rsid w:val="002469C1"/>
    <w:rsid w:val="00246D40"/>
    <w:rsid w:val="00251AAD"/>
    <w:rsid w:val="002520C7"/>
    <w:rsid w:val="00252BEC"/>
    <w:rsid w:val="00252E7A"/>
    <w:rsid w:val="00253776"/>
    <w:rsid w:val="0025395A"/>
    <w:rsid w:val="0025525D"/>
    <w:rsid w:val="00256491"/>
    <w:rsid w:val="0026040B"/>
    <w:rsid w:val="0026069D"/>
    <w:rsid w:val="002613CC"/>
    <w:rsid w:val="00262C5C"/>
    <w:rsid w:val="002631FF"/>
    <w:rsid w:val="002632A7"/>
    <w:rsid w:val="00263AED"/>
    <w:rsid w:val="00263E4C"/>
    <w:rsid w:val="00266FF5"/>
    <w:rsid w:val="00267C03"/>
    <w:rsid w:val="00271396"/>
    <w:rsid w:val="002715FA"/>
    <w:rsid w:val="00271A70"/>
    <w:rsid w:val="00272173"/>
    <w:rsid w:val="00272C5F"/>
    <w:rsid w:val="00273A89"/>
    <w:rsid w:val="00274E49"/>
    <w:rsid w:val="00275A0C"/>
    <w:rsid w:val="0028032B"/>
    <w:rsid w:val="00281AD6"/>
    <w:rsid w:val="00281AF1"/>
    <w:rsid w:val="00284A08"/>
    <w:rsid w:val="002854E4"/>
    <w:rsid w:val="00287604"/>
    <w:rsid w:val="00287BE2"/>
    <w:rsid w:val="00287C66"/>
    <w:rsid w:val="002912A1"/>
    <w:rsid w:val="00291922"/>
    <w:rsid w:val="00292811"/>
    <w:rsid w:val="00294292"/>
    <w:rsid w:val="0029484A"/>
    <w:rsid w:val="00295A4C"/>
    <w:rsid w:val="00297214"/>
    <w:rsid w:val="002979C2"/>
    <w:rsid w:val="002A00CE"/>
    <w:rsid w:val="002A1C71"/>
    <w:rsid w:val="002A3304"/>
    <w:rsid w:val="002A4ED7"/>
    <w:rsid w:val="002A5E7D"/>
    <w:rsid w:val="002A676B"/>
    <w:rsid w:val="002B0756"/>
    <w:rsid w:val="002B2BC5"/>
    <w:rsid w:val="002B2FE7"/>
    <w:rsid w:val="002B3181"/>
    <w:rsid w:val="002B31CE"/>
    <w:rsid w:val="002B3947"/>
    <w:rsid w:val="002B3D91"/>
    <w:rsid w:val="002B413D"/>
    <w:rsid w:val="002B553C"/>
    <w:rsid w:val="002B5BC5"/>
    <w:rsid w:val="002C3C32"/>
    <w:rsid w:val="002C4C51"/>
    <w:rsid w:val="002C561B"/>
    <w:rsid w:val="002C5C7E"/>
    <w:rsid w:val="002C5D08"/>
    <w:rsid w:val="002C60A7"/>
    <w:rsid w:val="002D051F"/>
    <w:rsid w:val="002D0C52"/>
    <w:rsid w:val="002D4B47"/>
    <w:rsid w:val="002D50D8"/>
    <w:rsid w:val="002D6946"/>
    <w:rsid w:val="002D71BE"/>
    <w:rsid w:val="002D73E5"/>
    <w:rsid w:val="002D7EF2"/>
    <w:rsid w:val="002D7EFE"/>
    <w:rsid w:val="002E147F"/>
    <w:rsid w:val="002E2CE5"/>
    <w:rsid w:val="002E45BF"/>
    <w:rsid w:val="002E489A"/>
    <w:rsid w:val="002E6682"/>
    <w:rsid w:val="002E6A95"/>
    <w:rsid w:val="002E6ACD"/>
    <w:rsid w:val="002E763E"/>
    <w:rsid w:val="002E78B5"/>
    <w:rsid w:val="002F1942"/>
    <w:rsid w:val="002F3079"/>
    <w:rsid w:val="002F38D5"/>
    <w:rsid w:val="002F563D"/>
    <w:rsid w:val="002F6A29"/>
    <w:rsid w:val="002F70C9"/>
    <w:rsid w:val="002F7850"/>
    <w:rsid w:val="002F7886"/>
    <w:rsid w:val="00305624"/>
    <w:rsid w:val="0030786E"/>
    <w:rsid w:val="00307C92"/>
    <w:rsid w:val="0031081A"/>
    <w:rsid w:val="00310EE9"/>
    <w:rsid w:val="0031265C"/>
    <w:rsid w:val="00313342"/>
    <w:rsid w:val="00314844"/>
    <w:rsid w:val="00314C3D"/>
    <w:rsid w:val="0031504A"/>
    <w:rsid w:val="003150DD"/>
    <w:rsid w:val="003157BB"/>
    <w:rsid w:val="003166FC"/>
    <w:rsid w:val="0031689E"/>
    <w:rsid w:val="00317EE1"/>
    <w:rsid w:val="00320DB5"/>
    <w:rsid w:val="00321CA3"/>
    <w:rsid w:val="0032389C"/>
    <w:rsid w:val="00326C46"/>
    <w:rsid w:val="0033075C"/>
    <w:rsid w:val="003307F1"/>
    <w:rsid w:val="003309B0"/>
    <w:rsid w:val="003323EE"/>
    <w:rsid w:val="00334485"/>
    <w:rsid w:val="00336F44"/>
    <w:rsid w:val="00341573"/>
    <w:rsid w:val="00341583"/>
    <w:rsid w:val="00341D1F"/>
    <w:rsid w:val="00341DA5"/>
    <w:rsid w:val="00342203"/>
    <w:rsid w:val="00342A77"/>
    <w:rsid w:val="00343199"/>
    <w:rsid w:val="00343529"/>
    <w:rsid w:val="003445AC"/>
    <w:rsid w:val="0034551F"/>
    <w:rsid w:val="003459C9"/>
    <w:rsid w:val="00345B1E"/>
    <w:rsid w:val="00345BB1"/>
    <w:rsid w:val="00346491"/>
    <w:rsid w:val="00346589"/>
    <w:rsid w:val="0034696B"/>
    <w:rsid w:val="00346A59"/>
    <w:rsid w:val="00346C38"/>
    <w:rsid w:val="00346F57"/>
    <w:rsid w:val="00350266"/>
    <w:rsid w:val="00351603"/>
    <w:rsid w:val="003521B0"/>
    <w:rsid w:val="00352B73"/>
    <w:rsid w:val="00355590"/>
    <w:rsid w:val="003569A4"/>
    <w:rsid w:val="00356A69"/>
    <w:rsid w:val="00357CC1"/>
    <w:rsid w:val="003611D8"/>
    <w:rsid w:val="00361AE7"/>
    <w:rsid w:val="003623C1"/>
    <w:rsid w:val="00362F5F"/>
    <w:rsid w:val="00365E27"/>
    <w:rsid w:val="00371474"/>
    <w:rsid w:val="00371EFB"/>
    <w:rsid w:val="00373577"/>
    <w:rsid w:val="00373BB1"/>
    <w:rsid w:val="00374126"/>
    <w:rsid w:val="00374151"/>
    <w:rsid w:val="00374324"/>
    <w:rsid w:val="003745D1"/>
    <w:rsid w:val="00374B9F"/>
    <w:rsid w:val="0037500F"/>
    <w:rsid w:val="003750AF"/>
    <w:rsid w:val="00375F5B"/>
    <w:rsid w:val="00377BC4"/>
    <w:rsid w:val="00380AFD"/>
    <w:rsid w:val="00380E92"/>
    <w:rsid w:val="003826C1"/>
    <w:rsid w:val="00383D08"/>
    <w:rsid w:val="00384DD0"/>
    <w:rsid w:val="00385B50"/>
    <w:rsid w:val="00386503"/>
    <w:rsid w:val="00386698"/>
    <w:rsid w:val="003876AB"/>
    <w:rsid w:val="00390AEE"/>
    <w:rsid w:val="00390F1E"/>
    <w:rsid w:val="00392118"/>
    <w:rsid w:val="00392410"/>
    <w:rsid w:val="003948ED"/>
    <w:rsid w:val="00395BE5"/>
    <w:rsid w:val="00396120"/>
    <w:rsid w:val="003A030F"/>
    <w:rsid w:val="003A09D2"/>
    <w:rsid w:val="003A1DD6"/>
    <w:rsid w:val="003A32DA"/>
    <w:rsid w:val="003A36E0"/>
    <w:rsid w:val="003A3B23"/>
    <w:rsid w:val="003A3E01"/>
    <w:rsid w:val="003A3FB2"/>
    <w:rsid w:val="003A6E17"/>
    <w:rsid w:val="003B018C"/>
    <w:rsid w:val="003B1868"/>
    <w:rsid w:val="003B1A1F"/>
    <w:rsid w:val="003B29EA"/>
    <w:rsid w:val="003B2C1C"/>
    <w:rsid w:val="003B4297"/>
    <w:rsid w:val="003B4318"/>
    <w:rsid w:val="003B56CB"/>
    <w:rsid w:val="003B590F"/>
    <w:rsid w:val="003B6A10"/>
    <w:rsid w:val="003B75B6"/>
    <w:rsid w:val="003B7683"/>
    <w:rsid w:val="003C2B2A"/>
    <w:rsid w:val="003C4D28"/>
    <w:rsid w:val="003C505C"/>
    <w:rsid w:val="003C7F00"/>
    <w:rsid w:val="003D000C"/>
    <w:rsid w:val="003D003E"/>
    <w:rsid w:val="003D05E7"/>
    <w:rsid w:val="003D12B1"/>
    <w:rsid w:val="003D1422"/>
    <w:rsid w:val="003D2D3E"/>
    <w:rsid w:val="003D44B5"/>
    <w:rsid w:val="003D6DF0"/>
    <w:rsid w:val="003D7A78"/>
    <w:rsid w:val="003E0BD1"/>
    <w:rsid w:val="003E1D56"/>
    <w:rsid w:val="003E1ED0"/>
    <w:rsid w:val="003E2BC2"/>
    <w:rsid w:val="003E332A"/>
    <w:rsid w:val="003E376D"/>
    <w:rsid w:val="003E3A90"/>
    <w:rsid w:val="003E4BD4"/>
    <w:rsid w:val="003E571D"/>
    <w:rsid w:val="003E5E17"/>
    <w:rsid w:val="003E68C6"/>
    <w:rsid w:val="003F0D7B"/>
    <w:rsid w:val="003F163C"/>
    <w:rsid w:val="003F17BD"/>
    <w:rsid w:val="003F1A93"/>
    <w:rsid w:val="003F2E42"/>
    <w:rsid w:val="003F4287"/>
    <w:rsid w:val="003F487A"/>
    <w:rsid w:val="003F4CA1"/>
    <w:rsid w:val="003F6044"/>
    <w:rsid w:val="003F6167"/>
    <w:rsid w:val="003F74D9"/>
    <w:rsid w:val="003F7AFF"/>
    <w:rsid w:val="00400A29"/>
    <w:rsid w:val="004018CB"/>
    <w:rsid w:val="00402A0A"/>
    <w:rsid w:val="00403126"/>
    <w:rsid w:val="0040375A"/>
    <w:rsid w:val="00404253"/>
    <w:rsid w:val="00404513"/>
    <w:rsid w:val="00404D72"/>
    <w:rsid w:val="00406323"/>
    <w:rsid w:val="00406BF2"/>
    <w:rsid w:val="0040710F"/>
    <w:rsid w:val="00407B10"/>
    <w:rsid w:val="00411C76"/>
    <w:rsid w:val="00412433"/>
    <w:rsid w:val="00412C12"/>
    <w:rsid w:val="004144EE"/>
    <w:rsid w:val="00414814"/>
    <w:rsid w:val="00415259"/>
    <w:rsid w:val="0041541E"/>
    <w:rsid w:val="0041594F"/>
    <w:rsid w:val="00415EA3"/>
    <w:rsid w:val="00416D63"/>
    <w:rsid w:val="00416DD8"/>
    <w:rsid w:val="00417CA3"/>
    <w:rsid w:val="0042032D"/>
    <w:rsid w:val="00422B00"/>
    <w:rsid w:val="004233CA"/>
    <w:rsid w:val="00424775"/>
    <w:rsid w:val="00424AD2"/>
    <w:rsid w:val="00425DE5"/>
    <w:rsid w:val="0042652F"/>
    <w:rsid w:val="0042698C"/>
    <w:rsid w:val="004279E0"/>
    <w:rsid w:val="00430F35"/>
    <w:rsid w:val="00431DC3"/>
    <w:rsid w:val="0043204A"/>
    <w:rsid w:val="00432B06"/>
    <w:rsid w:val="00433667"/>
    <w:rsid w:val="00433C4B"/>
    <w:rsid w:val="00434613"/>
    <w:rsid w:val="004364BC"/>
    <w:rsid w:val="00436F13"/>
    <w:rsid w:val="00440EF4"/>
    <w:rsid w:val="00446522"/>
    <w:rsid w:val="00447074"/>
    <w:rsid w:val="0045115A"/>
    <w:rsid w:val="004518C4"/>
    <w:rsid w:val="00451DCB"/>
    <w:rsid w:val="00452B55"/>
    <w:rsid w:val="004540DA"/>
    <w:rsid w:val="00456135"/>
    <w:rsid w:val="0046041B"/>
    <w:rsid w:val="00460C61"/>
    <w:rsid w:val="00460E5B"/>
    <w:rsid w:val="004611E1"/>
    <w:rsid w:val="00461619"/>
    <w:rsid w:val="00461810"/>
    <w:rsid w:val="0046186F"/>
    <w:rsid w:val="004629DC"/>
    <w:rsid w:val="00463021"/>
    <w:rsid w:val="004648CB"/>
    <w:rsid w:val="00464E87"/>
    <w:rsid w:val="00466812"/>
    <w:rsid w:val="004674AB"/>
    <w:rsid w:val="00467C2A"/>
    <w:rsid w:val="0047018E"/>
    <w:rsid w:val="004701D1"/>
    <w:rsid w:val="00471B5C"/>
    <w:rsid w:val="00472394"/>
    <w:rsid w:val="004725D2"/>
    <w:rsid w:val="00473093"/>
    <w:rsid w:val="0047309D"/>
    <w:rsid w:val="00473272"/>
    <w:rsid w:val="00473D1D"/>
    <w:rsid w:val="00473F52"/>
    <w:rsid w:val="00473FB7"/>
    <w:rsid w:val="004740DA"/>
    <w:rsid w:val="00474171"/>
    <w:rsid w:val="004750C6"/>
    <w:rsid w:val="004753E7"/>
    <w:rsid w:val="00475E46"/>
    <w:rsid w:val="00477E25"/>
    <w:rsid w:val="00482353"/>
    <w:rsid w:val="00483355"/>
    <w:rsid w:val="004836F2"/>
    <w:rsid w:val="00483E5A"/>
    <w:rsid w:val="00484484"/>
    <w:rsid w:val="00484CFA"/>
    <w:rsid w:val="004853CD"/>
    <w:rsid w:val="004863FC"/>
    <w:rsid w:val="004873C3"/>
    <w:rsid w:val="004879CF"/>
    <w:rsid w:val="00487A9B"/>
    <w:rsid w:val="00487E4C"/>
    <w:rsid w:val="0049023C"/>
    <w:rsid w:val="00490772"/>
    <w:rsid w:val="00491FD1"/>
    <w:rsid w:val="004923D6"/>
    <w:rsid w:val="0049299E"/>
    <w:rsid w:val="004929F9"/>
    <w:rsid w:val="0049370A"/>
    <w:rsid w:val="00495C3C"/>
    <w:rsid w:val="00495E72"/>
    <w:rsid w:val="004962D7"/>
    <w:rsid w:val="00497804"/>
    <w:rsid w:val="004A295B"/>
    <w:rsid w:val="004A2D09"/>
    <w:rsid w:val="004A34EC"/>
    <w:rsid w:val="004A47EF"/>
    <w:rsid w:val="004A49B1"/>
    <w:rsid w:val="004B0DD0"/>
    <w:rsid w:val="004B2424"/>
    <w:rsid w:val="004B2D89"/>
    <w:rsid w:val="004B2EF9"/>
    <w:rsid w:val="004B30F8"/>
    <w:rsid w:val="004B4857"/>
    <w:rsid w:val="004B6BDF"/>
    <w:rsid w:val="004B703D"/>
    <w:rsid w:val="004B76EF"/>
    <w:rsid w:val="004C0206"/>
    <w:rsid w:val="004C03FF"/>
    <w:rsid w:val="004C04A5"/>
    <w:rsid w:val="004C067B"/>
    <w:rsid w:val="004C13EA"/>
    <w:rsid w:val="004C228B"/>
    <w:rsid w:val="004C5894"/>
    <w:rsid w:val="004C5BEB"/>
    <w:rsid w:val="004C6AA3"/>
    <w:rsid w:val="004C6FC2"/>
    <w:rsid w:val="004C7391"/>
    <w:rsid w:val="004D09D0"/>
    <w:rsid w:val="004D240E"/>
    <w:rsid w:val="004D406F"/>
    <w:rsid w:val="004D458F"/>
    <w:rsid w:val="004D466B"/>
    <w:rsid w:val="004D5D21"/>
    <w:rsid w:val="004D62F1"/>
    <w:rsid w:val="004D77CB"/>
    <w:rsid w:val="004E042C"/>
    <w:rsid w:val="004E0511"/>
    <w:rsid w:val="004E09B4"/>
    <w:rsid w:val="004E279C"/>
    <w:rsid w:val="004E3123"/>
    <w:rsid w:val="004E42FB"/>
    <w:rsid w:val="004E546B"/>
    <w:rsid w:val="004E5BD3"/>
    <w:rsid w:val="004E62F7"/>
    <w:rsid w:val="004E6843"/>
    <w:rsid w:val="004E6CCF"/>
    <w:rsid w:val="004E7324"/>
    <w:rsid w:val="004F096C"/>
    <w:rsid w:val="004F0E08"/>
    <w:rsid w:val="004F1488"/>
    <w:rsid w:val="004F14C7"/>
    <w:rsid w:val="004F1750"/>
    <w:rsid w:val="004F1755"/>
    <w:rsid w:val="004F1824"/>
    <w:rsid w:val="004F1E53"/>
    <w:rsid w:val="004F36C1"/>
    <w:rsid w:val="004F3FB7"/>
    <w:rsid w:val="004F3FF6"/>
    <w:rsid w:val="004F466E"/>
    <w:rsid w:val="004F5D72"/>
    <w:rsid w:val="004F659E"/>
    <w:rsid w:val="004F7AC8"/>
    <w:rsid w:val="0050116A"/>
    <w:rsid w:val="0050258B"/>
    <w:rsid w:val="00503711"/>
    <w:rsid w:val="005040CD"/>
    <w:rsid w:val="00506336"/>
    <w:rsid w:val="00506AFF"/>
    <w:rsid w:val="005100FF"/>
    <w:rsid w:val="00511285"/>
    <w:rsid w:val="0051167D"/>
    <w:rsid w:val="0051174B"/>
    <w:rsid w:val="005123BC"/>
    <w:rsid w:val="00512ADC"/>
    <w:rsid w:val="0051386E"/>
    <w:rsid w:val="00515EF3"/>
    <w:rsid w:val="005161E5"/>
    <w:rsid w:val="005162E0"/>
    <w:rsid w:val="005177F8"/>
    <w:rsid w:val="0052195C"/>
    <w:rsid w:val="00523E27"/>
    <w:rsid w:val="00524153"/>
    <w:rsid w:val="00524BFD"/>
    <w:rsid w:val="00525A82"/>
    <w:rsid w:val="00530155"/>
    <w:rsid w:val="0053072E"/>
    <w:rsid w:val="00530745"/>
    <w:rsid w:val="005325AB"/>
    <w:rsid w:val="00534449"/>
    <w:rsid w:val="00535242"/>
    <w:rsid w:val="005361D8"/>
    <w:rsid w:val="0053726E"/>
    <w:rsid w:val="00540380"/>
    <w:rsid w:val="00540C6B"/>
    <w:rsid w:val="00540D4D"/>
    <w:rsid w:val="0054208D"/>
    <w:rsid w:val="00544016"/>
    <w:rsid w:val="00544655"/>
    <w:rsid w:val="005457A5"/>
    <w:rsid w:val="00546398"/>
    <w:rsid w:val="005467B3"/>
    <w:rsid w:val="005471B6"/>
    <w:rsid w:val="005473D4"/>
    <w:rsid w:val="0054755D"/>
    <w:rsid w:val="00550EA5"/>
    <w:rsid w:val="005512D8"/>
    <w:rsid w:val="00552D68"/>
    <w:rsid w:val="005535CD"/>
    <w:rsid w:val="00554019"/>
    <w:rsid w:val="00554559"/>
    <w:rsid w:val="00554736"/>
    <w:rsid w:val="00556E1C"/>
    <w:rsid w:val="00560F9A"/>
    <w:rsid w:val="00561532"/>
    <w:rsid w:val="00561A05"/>
    <w:rsid w:val="00561BA7"/>
    <w:rsid w:val="00561F7A"/>
    <w:rsid w:val="00562FD9"/>
    <w:rsid w:val="00563D4C"/>
    <w:rsid w:val="005644DD"/>
    <w:rsid w:val="00565357"/>
    <w:rsid w:val="00565F96"/>
    <w:rsid w:val="00570825"/>
    <w:rsid w:val="00571EBC"/>
    <w:rsid w:val="00572A3A"/>
    <w:rsid w:val="00572D86"/>
    <w:rsid w:val="00574464"/>
    <w:rsid w:val="0057525B"/>
    <w:rsid w:val="00575733"/>
    <w:rsid w:val="00577BA9"/>
    <w:rsid w:val="005800DF"/>
    <w:rsid w:val="005801CB"/>
    <w:rsid w:val="005853CC"/>
    <w:rsid w:val="005858BB"/>
    <w:rsid w:val="00585E1B"/>
    <w:rsid w:val="0058672A"/>
    <w:rsid w:val="00586DED"/>
    <w:rsid w:val="0059093A"/>
    <w:rsid w:val="00591C9E"/>
    <w:rsid w:val="005926C9"/>
    <w:rsid w:val="00593643"/>
    <w:rsid w:val="00594143"/>
    <w:rsid w:val="00594A2F"/>
    <w:rsid w:val="00594AA8"/>
    <w:rsid w:val="00594E92"/>
    <w:rsid w:val="00596032"/>
    <w:rsid w:val="00596CDA"/>
    <w:rsid w:val="00597A71"/>
    <w:rsid w:val="00597D0B"/>
    <w:rsid w:val="005A19D4"/>
    <w:rsid w:val="005A2D10"/>
    <w:rsid w:val="005A4B97"/>
    <w:rsid w:val="005A5A74"/>
    <w:rsid w:val="005A6C67"/>
    <w:rsid w:val="005B0831"/>
    <w:rsid w:val="005B1499"/>
    <w:rsid w:val="005B20EB"/>
    <w:rsid w:val="005B2324"/>
    <w:rsid w:val="005B2F07"/>
    <w:rsid w:val="005B361D"/>
    <w:rsid w:val="005B36E2"/>
    <w:rsid w:val="005B4941"/>
    <w:rsid w:val="005B555F"/>
    <w:rsid w:val="005B77B1"/>
    <w:rsid w:val="005C0E7B"/>
    <w:rsid w:val="005C2661"/>
    <w:rsid w:val="005D1F0E"/>
    <w:rsid w:val="005D2190"/>
    <w:rsid w:val="005D2F52"/>
    <w:rsid w:val="005D397A"/>
    <w:rsid w:val="005D45E5"/>
    <w:rsid w:val="005D463D"/>
    <w:rsid w:val="005D47A7"/>
    <w:rsid w:val="005D494A"/>
    <w:rsid w:val="005D5374"/>
    <w:rsid w:val="005D5A95"/>
    <w:rsid w:val="005D5C3D"/>
    <w:rsid w:val="005D7C20"/>
    <w:rsid w:val="005E09BF"/>
    <w:rsid w:val="005E0B08"/>
    <w:rsid w:val="005E2EB2"/>
    <w:rsid w:val="005E4F95"/>
    <w:rsid w:val="005E5CE0"/>
    <w:rsid w:val="005E6CB6"/>
    <w:rsid w:val="005E7423"/>
    <w:rsid w:val="005F1890"/>
    <w:rsid w:val="005F23BA"/>
    <w:rsid w:val="005F2733"/>
    <w:rsid w:val="005F37D6"/>
    <w:rsid w:val="005F65AB"/>
    <w:rsid w:val="005F6604"/>
    <w:rsid w:val="005F66B3"/>
    <w:rsid w:val="005F6ACC"/>
    <w:rsid w:val="005F7201"/>
    <w:rsid w:val="006012A1"/>
    <w:rsid w:val="006025D6"/>
    <w:rsid w:val="00602FD8"/>
    <w:rsid w:val="00603127"/>
    <w:rsid w:val="00604A0E"/>
    <w:rsid w:val="00605601"/>
    <w:rsid w:val="0060641C"/>
    <w:rsid w:val="006069EA"/>
    <w:rsid w:val="0061043D"/>
    <w:rsid w:val="00610728"/>
    <w:rsid w:val="00611406"/>
    <w:rsid w:val="00611599"/>
    <w:rsid w:val="00611744"/>
    <w:rsid w:val="00611D5D"/>
    <w:rsid w:val="00611DCA"/>
    <w:rsid w:val="00612E7B"/>
    <w:rsid w:val="00612F91"/>
    <w:rsid w:val="00613A13"/>
    <w:rsid w:val="00613B5F"/>
    <w:rsid w:val="00614193"/>
    <w:rsid w:val="00615BD1"/>
    <w:rsid w:val="00615CF5"/>
    <w:rsid w:val="00617E73"/>
    <w:rsid w:val="006218F6"/>
    <w:rsid w:val="00622683"/>
    <w:rsid w:val="00624157"/>
    <w:rsid w:val="0062455F"/>
    <w:rsid w:val="00624BD9"/>
    <w:rsid w:val="0062587E"/>
    <w:rsid w:val="00625B8B"/>
    <w:rsid w:val="006261B3"/>
    <w:rsid w:val="006265D5"/>
    <w:rsid w:val="006279F7"/>
    <w:rsid w:val="00627D28"/>
    <w:rsid w:val="00627E7C"/>
    <w:rsid w:val="00630B92"/>
    <w:rsid w:val="00630C08"/>
    <w:rsid w:val="00631851"/>
    <w:rsid w:val="00631FCD"/>
    <w:rsid w:val="006329B4"/>
    <w:rsid w:val="006342E9"/>
    <w:rsid w:val="00634CAF"/>
    <w:rsid w:val="006370FE"/>
    <w:rsid w:val="00641134"/>
    <w:rsid w:val="00642C63"/>
    <w:rsid w:val="006430F9"/>
    <w:rsid w:val="006434C6"/>
    <w:rsid w:val="006454BC"/>
    <w:rsid w:val="00645555"/>
    <w:rsid w:val="00646931"/>
    <w:rsid w:val="0065163D"/>
    <w:rsid w:val="006516ED"/>
    <w:rsid w:val="00651A53"/>
    <w:rsid w:val="006536C0"/>
    <w:rsid w:val="00653CEB"/>
    <w:rsid w:val="00654435"/>
    <w:rsid w:val="00655346"/>
    <w:rsid w:val="0065547F"/>
    <w:rsid w:val="006558C1"/>
    <w:rsid w:val="00656A6D"/>
    <w:rsid w:val="00660CAD"/>
    <w:rsid w:val="00661F2F"/>
    <w:rsid w:val="00662AA7"/>
    <w:rsid w:val="00662FA4"/>
    <w:rsid w:val="0066303A"/>
    <w:rsid w:val="00664797"/>
    <w:rsid w:val="00664A77"/>
    <w:rsid w:val="00667C37"/>
    <w:rsid w:val="00670DD2"/>
    <w:rsid w:val="006728F8"/>
    <w:rsid w:val="006735F9"/>
    <w:rsid w:val="00673667"/>
    <w:rsid w:val="00673D2D"/>
    <w:rsid w:val="00675925"/>
    <w:rsid w:val="00675AD7"/>
    <w:rsid w:val="0067751B"/>
    <w:rsid w:val="00677A29"/>
    <w:rsid w:val="0068292A"/>
    <w:rsid w:val="006833F4"/>
    <w:rsid w:val="00683889"/>
    <w:rsid w:val="006848F0"/>
    <w:rsid w:val="006850AF"/>
    <w:rsid w:val="0068712D"/>
    <w:rsid w:val="00687486"/>
    <w:rsid w:val="006876D7"/>
    <w:rsid w:val="006905ED"/>
    <w:rsid w:val="0069291A"/>
    <w:rsid w:val="00692A18"/>
    <w:rsid w:val="00694C63"/>
    <w:rsid w:val="00694E79"/>
    <w:rsid w:val="00695AD1"/>
    <w:rsid w:val="006962BD"/>
    <w:rsid w:val="006A03B1"/>
    <w:rsid w:val="006A347B"/>
    <w:rsid w:val="006A4020"/>
    <w:rsid w:val="006A5FCD"/>
    <w:rsid w:val="006A64F1"/>
    <w:rsid w:val="006A685B"/>
    <w:rsid w:val="006B1112"/>
    <w:rsid w:val="006B1545"/>
    <w:rsid w:val="006B1CA1"/>
    <w:rsid w:val="006B1EF1"/>
    <w:rsid w:val="006B2424"/>
    <w:rsid w:val="006B3D3C"/>
    <w:rsid w:val="006B56C9"/>
    <w:rsid w:val="006B5EB5"/>
    <w:rsid w:val="006B604B"/>
    <w:rsid w:val="006B68D0"/>
    <w:rsid w:val="006C0FCF"/>
    <w:rsid w:val="006C1743"/>
    <w:rsid w:val="006C1F8A"/>
    <w:rsid w:val="006C2184"/>
    <w:rsid w:val="006C34E6"/>
    <w:rsid w:val="006C397C"/>
    <w:rsid w:val="006C4AA2"/>
    <w:rsid w:val="006C5BE9"/>
    <w:rsid w:val="006C5F99"/>
    <w:rsid w:val="006C6D36"/>
    <w:rsid w:val="006C72B7"/>
    <w:rsid w:val="006D1B14"/>
    <w:rsid w:val="006D1BDE"/>
    <w:rsid w:val="006E0C50"/>
    <w:rsid w:val="006E1E03"/>
    <w:rsid w:val="006E269F"/>
    <w:rsid w:val="006E3238"/>
    <w:rsid w:val="006E32F2"/>
    <w:rsid w:val="006E483A"/>
    <w:rsid w:val="006E53A1"/>
    <w:rsid w:val="006E62BB"/>
    <w:rsid w:val="006E64E4"/>
    <w:rsid w:val="006E66E1"/>
    <w:rsid w:val="006F0A5C"/>
    <w:rsid w:val="006F0F4A"/>
    <w:rsid w:val="006F2925"/>
    <w:rsid w:val="006F5D52"/>
    <w:rsid w:val="006F631B"/>
    <w:rsid w:val="006F70C0"/>
    <w:rsid w:val="007005F8"/>
    <w:rsid w:val="0070076C"/>
    <w:rsid w:val="0070104A"/>
    <w:rsid w:val="007035D6"/>
    <w:rsid w:val="00703628"/>
    <w:rsid w:val="00705E35"/>
    <w:rsid w:val="00706DAF"/>
    <w:rsid w:val="00706F85"/>
    <w:rsid w:val="00710A85"/>
    <w:rsid w:val="00711053"/>
    <w:rsid w:val="00712235"/>
    <w:rsid w:val="007131D4"/>
    <w:rsid w:val="00714F33"/>
    <w:rsid w:val="00715E53"/>
    <w:rsid w:val="00716DF2"/>
    <w:rsid w:val="007177D9"/>
    <w:rsid w:val="00717BA9"/>
    <w:rsid w:val="00720093"/>
    <w:rsid w:val="00720310"/>
    <w:rsid w:val="007223E2"/>
    <w:rsid w:val="00726315"/>
    <w:rsid w:val="0072650A"/>
    <w:rsid w:val="00732576"/>
    <w:rsid w:val="00733DD3"/>
    <w:rsid w:val="00734102"/>
    <w:rsid w:val="00735179"/>
    <w:rsid w:val="00736264"/>
    <w:rsid w:val="0073629B"/>
    <w:rsid w:val="00736B7C"/>
    <w:rsid w:val="00736F49"/>
    <w:rsid w:val="00737B5A"/>
    <w:rsid w:val="007406E8"/>
    <w:rsid w:val="007420D1"/>
    <w:rsid w:val="00743C12"/>
    <w:rsid w:val="0074458E"/>
    <w:rsid w:val="007446FA"/>
    <w:rsid w:val="00744BFF"/>
    <w:rsid w:val="00744E5A"/>
    <w:rsid w:val="007452DA"/>
    <w:rsid w:val="00747158"/>
    <w:rsid w:val="00747891"/>
    <w:rsid w:val="007511CF"/>
    <w:rsid w:val="00751D5F"/>
    <w:rsid w:val="0075257E"/>
    <w:rsid w:val="007541CB"/>
    <w:rsid w:val="00754CBA"/>
    <w:rsid w:val="00755147"/>
    <w:rsid w:val="00755159"/>
    <w:rsid w:val="00755C81"/>
    <w:rsid w:val="007562C6"/>
    <w:rsid w:val="00756F53"/>
    <w:rsid w:val="00757823"/>
    <w:rsid w:val="0076048F"/>
    <w:rsid w:val="00761096"/>
    <w:rsid w:val="00762AC0"/>
    <w:rsid w:val="00763DB6"/>
    <w:rsid w:val="00766A69"/>
    <w:rsid w:val="0076753F"/>
    <w:rsid w:val="00767E9E"/>
    <w:rsid w:val="0077046C"/>
    <w:rsid w:val="0077144B"/>
    <w:rsid w:val="00771C15"/>
    <w:rsid w:val="007724C1"/>
    <w:rsid w:val="007731A4"/>
    <w:rsid w:val="0077463D"/>
    <w:rsid w:val="00776EBB"/>
    <w:rsid w:val="00776EF3"/>
    <w:rsid w:val="007814D4"/>
    <w:rsid w:val="007814E7"/>
    <w:rsid w:val="00781E4E"/>
    <w:rsid w:val="007822ED"/>
    <w:rsid w:val="00784460"/>
    <w:rsid w:val="00785055"/>
    <w:rsid w:val="0078543D"/>
    <w:rsid w:val="00785D7A"/>
    <w:rsid w:val="00786C28"/>
    <w:rsid w:val="00787789"/>
    <w:rsid w:val="00787FC8"/>
    <w:rsid w:val="00787FCE"/>
    <w:rsid w:val="007923A9"/>
    <w:rsid w:val="00792CD7"/>
    <w:rsid w:val="00793B49"/>
    <w:rsid w:val="007953C9"/>
    <w:rsid w:val="00795E95"/>
    <w:rsid w:val="007968F3"/>
    <w:rsid w:val="007A0213"/>
    <w:rsid w:val="007A144B"/>
    <w:rsid w:val="007A2124"/>
    <w:rsid w:val="007A3CC8"/>
    <w:rsid w:val="007A5E61"/>
    <w:rsid w:val="007A67DF"/>
    <w:rsid w:val="007B19DB"/>
    <w:rsid w:val="007B1A00"/>
    <w:rsid w:val="007B1DC9"/>
    <w:rsid w:val="007B388A"/>
    <w:rsid w:val="007B3A19"/>
    <w:rsid w:val="007B4CED"/>
    <w:rsid w:val="007B668C"/>
    <w:rsid w:val="007B681A"/>
    <w:rsid w:val="007B7CA4"/>
    <w:rsid w:val="007C05A9"/>
    <w:rsid w:val="007C07E0"/>
    <w:rsid w:val="007C11C7"/>
    <w:rsid w:val="007C402F"/>
    <w:rsid w:val="007C4B33"/>
    <w:rsid w:val="007C637A"/>
    <w:rsid w:val="007C6D88"/>
    <w:rsid w:val="007D009F"/>
    <w:rsid w:val="007D0132"/>
    <w:rsid w:val="007D0871"/>
    <w:rsid w:val="007D2C46"/>
    <w:rsid w:val="007D4387"/>
    <w:rsid w:val="007D4C4B"/>
    <w:rsid w:val="007D586A"/>
    <w:rsid w:val="007D5E80"/>
    <w:rsid w:val="007D6CEF"/>
    <w:rsid w:val="007D72B5"/>
    <w:rsid w:val="007D7616"/>
    <w:rsid w:val="007D77A2"/>
    <w:rsid w:val="007E0E9E"/>
    <w:rsid w:val="007E27ED"/>
    <w:rsid w:val="007E2AF9"/>
    <w:rsid w:val="007E3998"/>
    <w:rsid w:val="007E5E8F"/>
    <w:rsid w:val="007F10B7"/>
    <w:rsid w:val="007F434F"/>
    <w:rsid w:val="007F4E8B"/>
    <w:rsid w:val="007F5C5C"/>
    <w:rsid w:val="007F64A6"/>
    <w:rsid w:val="007F748B"/>
    <w:rsid w:val="007F7F34"/>
    <w:rsid w:val="008014C2"/>
    <w:rsid w:val="00802965"/>
    <w:rsid w:val="00803B52"/>
    <w:rsid w:val="00804A4B"/>
    <w:rsid w:val="00804B1B"/>
    <w:rsid w:val="00805639"/>
    <w:rsid w:val="00807B9D"/>
    <w:rsid w:val="008110CA"/>
    <w:rsid w:val="008122BF"/>
    <w:rsid w:val="0081373C"/>
    <w:rsid w:val="008137C2"/>
    <w:rsid w:val="00815189"/>
    <w:rsid w:val="008158D7"/>
    <w:rsid w:val="0081617D"/>
    <w:rsid w:val="008161BF"/>
    <w:rsid w:val="00816DDD"/>
    <w:rsid w:val="00817098"/>
    <w:rsid w:val="008205BF"/>
    <w:rsid w:val="008208BF"/>
    <w:rsid w:val="00820AA5"/>
    <w:rsid w:val="0082533B"/>
    <w:rsid w:val="008273FC"/>
    <w:rsid w:val="00827680"/>
    <w:rsid w:val="00827B07"/>
    <w:rsid w:val="00830738"/>
    <w:rsid w:val="00831ED2"/>
    <w:rsid w:val="008324EA"/>
    <w:rsid w:val="00832D88"/>
    <w:rsid w:val="00833082"/>
    <w:rsid w:val="0083563C"/>
    <w:rsid w:val="00835A42"/>
    <w:rsid w:val="00836777"/>
    <w:rsid w:val="008401BB"/>
    <w:rsid w:val="008407D7"/>
    <w:rsid w:val="00840AEE"/>
    <w:rsid w:val="00841488"/>
    <w:rsid w:val="008417F7"/>
    <w:rsid w:val="008423E6"/>
    <w:rsid w:val="008444B5"/>
    <w:rsid w:val="00845EC6"/>
    <w:rsid w:val="00850A99"/>
    <w:rsid w:val="00850B27"/>
    <w:rsid w:val="00852584"/>
    <w:rsid w:val="00852D05"/>
    <w:rsid w:val="00853052"/>
    <w:rsid w:val="00853B24"/>
    <w:rsid w:val="00854A99"/>
    <w:rsid w:val="008567F8"/>
    <w:rsid w:val="00860050"/>
    <w:rsid w:val="00861881"/>
    <w:rsid w:val="0086191B"/>
    <w:rsid w:val="00861EC5"/>
    <w:rsid w:val="00862498"/>
    <w:rsid w:val="00863251"/>
    <w:rsid w:val="00863ED0"/>
    <w:rsid w:val="0086620C"/>
    <w:rsid w:val="00870319"/>
    <w:rsid w:val="008711AE"/>
    <w:rsid w:val="00873392"/>
    <w:rsid w:val="008734BA"/>
    <w:rsid w:val="00874428"/>
    <w:rsid w:val="00876CC6"/>
    <w:rsid w:val="00877C11"/>
    <w:rsid w:val="008820CE"/>
    <w:rsid w:val="00882202"/>
    <w:rsid w:val="00882319"/>
    <w:rsid w:val="00882692"/>
    <w:rsid w:val="008827B4"/>
    <w:rsid w:val="008839E9"/>
    <w:rsid w:val="00883B71"/>
    <w:rsid w:val="00883C72"/>
    <w:rsid w:val="00885A36"/>
    <w:rsid w:val="00887017"/>
    <w:rsid w:val="008871F0"/>
    <w:rsid w:val="00891C1C"/>
    <w:rsid w:val="00891DE0"/>
    <w:rsid w:val="00892620"/>
    <w:rsid w:val="00892BC4"/>
    <w:rsid w:val="00892D80"/>
    <w:rsid w:val="00892DAE"/>
    <w:rsid w:val="00892FD5"/>
    <w:rsid w:val="00893542"/>
    <w:rsid w:val="00894590"/>
    <w:rsid w:val="00896C32"/>
    <w:rsid w:val="00896E9F"/>
    <w:rsid w:val="008A22B8"/>
    <w:rsid w:val="008A313F"/>
    <w:rsid w:val="008A31A7"/>
    <w:rsid w:val="008A32AF"/>
    <w:rsid w:val="008A4426"/>
    <w:rsid w:val="008A5299"/>
    <w:rsid w:val="008A59D3"/>
    <w:rsid w:val="008A5D56"/>
    <w:rsid w:val="008A64FE"/>
    <w:rsid w:val="008A70D7"/>
    <w:rsid w:val="008B09F2"/>
    <w:rsid w:val="008B1112"/>
    <w:rsid w:val="008B1C97"/>
    <w:rsid w:val="008B3045"/>
    <w:rsid w:val="008B5578"/>
    <w:rsid w:val="008B575C"/>
    <w:rsid w:val="008B58E9"/>
    <w:rsid w:val="008B640D"/>
    <w:rsid w:val="008B73F8"/>
    <w:rsid w:val="008C0627"/>
    <w:rsid w:val="008C1CB8"/>
    <w:rsid w:val="008C20E3"/>
    <w:rsid w:val="008C2813"/>
    <w:rsid w:val="008C2EED"/>
    <w:rsid w:val="008C436F"/>
    <w:rsid w:val="008C57EB"/>
    <w:rsid w:val="008C5E88"/>
    <w:rsid w:val="008C61BE"/>
    <w:rsid w:val="008C68B5"/>
    <w:rsid w:val="008C7CC4"/>
    <w:rsid w:val="008D5D2A"/>
    <w:rsid w:val="008D6BB8"/>
    <w:rsid w:val="008D7348"/>
    <w:rsid w:val="008E2863"/>
    <w:rsid w:val="008E3AB8"/>
    <w:rsid w:val="008E4608"/>
    <w:rsid w:val="008F1624"/>
    <w:rsid w:val="008F1F47"/>
    <w:rsid w:val="008F32AA"/>
    <w:rsid w:val="008F3B0B"/>
    <w:rsid w:val="008F45BF"/>
    <w:rsid w:val="008F4CF1"/>
    <w:rsid w:val="008F4D6B"/>
    <w:rsid w:val="008F508D"/>
    <w:rsid w:val="008F58DD"/>
    <w:rsid w:val="008F6DD0"/>
    <w:rsid w:val="008F7D3F"/>
    <w:rsid w:val="0090039C"/>
    <w:rsid w:val="00900B57"/>
    <w:rsid w:val="00900EE2"/>
    <w:rsid w:val="0090147E"/>
    <w:rsid w:val="00901A24"/>
    <w:rsid w:val="00901DE1"/>
    <w:rsid w:val="00902B31"/>
    <w:rsid w:val="00902FEA"/>
    <w:rsid w:val="00903856"/>
    <w:rsid w:val="00905E28"/>
    <w:rsid w:val="00910328"/>
    <w:rsid w:val="00910AD6"/>
    <w:rsid w:val="00911A38"/>
    <w:rsid w:val="00911AB5"/>
    <w:rsid w:val="00911F82"/>
    <w:rsid w:val="009125A0"/>
    <w:rsid w:val="00912961"/>
    <w:rsid w:val="00912A8C"/>
    <w:rsid w:val="00912CBB"/>
    <w:rsid w:val="00912F2C"/>
    <w:rsid w:val="00914E50"/>
    <w:rsid w:val="00915C28"/>
    <w:rsid w:val="00916010"/>
    <w:rsid w:val="0091620D"/>
    <w:rsid w:val="00917876"/>
    <w:rsid w:val="00917BEB"/>
    <w:rsid w:val="0092068E"/>
    <w:rsid w:val="00921291"/>
    <w:rsid w:val="00922BF3"/>
    <w:rsid w:val="00922EA3"/>
    <w:rsid w:val="0092326D"/>
    <w:rsid w:val="00924BCE"/>
    <w:rsid w:val="00925E62"/>
    <w:rsid w:val="00927D44"/>
    <w:rsid w:val="0093238A"/>
    <w:rsid w:val="0093389A"/>
    <w:rsid w:val="00933DE2"/>
    <w:rsid w:val="00936237"/>
    <w:rsid w:val="00940D4E"/>
    <w:rsid w:val="00942A8C"/>
    <w:rsid w:val="00942B12"/>
    <w:rsid w:val="00942CBC"/>
    <w:rsid w:val="00943CF0"/>
    <w:rsid w:val="00943D17"/>
    <w:rsid w:val="00943D6F"/>
    <w:rsid w:val="00943DCB"/>
    <w:rsid w:val="00944A66"/>
    <w:rsid w:val="0094560F"/>
    <w:rsid w:val="0094581C"/>
    <w:rsid w:val="009463D5"/>
    <w:rsid w:val="00946BD9"/>
    <w:rsid w:val="00947E20"/>
    <w:rsid w:val="0095025C"/>
    <w:rsid w:val="00950766"/>
    <w:rsid w:val="0095099F"/>
    <w:rsid w:val="00950D1A"/>
    <w:rsid w:val="00951F01"/>
    <w:rsid w:val="00952A1D"/>
    <w:rsid w:val="00953DDA"/>
    <w:rsid w:val="00955E58"/>
    <w:rsid w:val="00956206"/>
    <w:rsid w:val="00956559"/>
    <w:rsid w:val="009575F9"/>
    <w:rsid w:val="00960CB8"/>
    <w:rsid w:val="00962C82"/>
    <w:rsid w:val="00963AB5"/>
    <w:rsid w:val="00964472"/>
    <w:rsid w:val="00965269"/>
    <w:rsid w:val="00965891"/>
    <w:rsid w:val="00965D3E"/>
    <w:rsid w:val="00970F39"/>
    <w:rsid w:val="00970FD1"/>
    <w:rsid w:val="00972159"/>
    <w:rsid w:val="00972C22"/>
    <w:rsid w:val="00972FDC"/>
    <w:rsid w:val="00973E1D"/>
    <w:rsid w:val="009741C2"/>
    <w:rsid w:val="0097469B"/>
    <w:rsid w:val="0097520F"/>
    <w:rsid w:val="0097531B"/>
    <w:rsid w:val="00975DB8"/>
    <w:rsid w:val="00976641"/>
    <w:rsid w:val="00976A70"/>
    <w:rsid w:val="009777D2"/>
    <w:rsid w:val="009815BE"/>
    <w:rsid w:val="00981799"/>
    <w:rsid w:val="00982179"/>
    <w:rsid w:val="009827AE"/>
    <w:rsid w:val="009844A4"/>
    <w:rsid w:val="009854C4"/>
    <w:rsid w:val="00985A73"/>
    <w:rsid w:val="00985E47"/>
    <w:rsid w:val="0098621A"/>
    <w:rsid w:val="00987426"/>
    <w:rsid w:val="009902F5"/>
    <w:rsid w:val="00990495"/>
    <w:rsid w:val="009905A4"/>
    <w:rsid w:val="009905D0"/>
    <w:rsid w:val="00990DA2"/>
    <w:rsid w:val="0099308C"/>
    <w:rsid w:val="00993DE1"/>
    <w:rsid w:val="0099536B"/>
    <w:rsid w:val="009967A9"/>
    <w:rsid w:val="00997B3C"/>
    <w:rsid w:val="009A195E"/>
    <w:rsid w:val="009A224B"/>
    <w:rsid w:val="009A2684"/>
    <w:rsid w:val="009A282A"/>
    <w:rsid w:val="009A31CC"/>
    <w:rsid w:val="009A469B"/>
    <w:rsid w:val="009A662C"/>
    <w:rsid w:val="009A67AE"/>
    <w:rsid w:val="009A7E52"/>
    <w:rsid w:val="009B0AC6"/>
    <w:rsid w:val="009B10D5"/>
    <w:rsid w:val="009B2017"/>
    <w:rsid w:val="009B33E3"/>
    <w:rsid w:val="009B48CB"/>
    <w:rsid w:val="009B4CD2"/>
    <w:rsid w:val="009B599B"/>
    <w:rsid w:val="009B7988"/>
    <w:rsid w:val="009C03DD"/>
    <w:rsid w:val="009C040F"/>
    <w:rsid w:val="009C0557"/>
    <w:rsid w:val="009C08DF"/>
    <w:rsid w:val="009C0E43"/>
    <w:rsid w:val="009C11B2"/>
    <w:rsid w:val="009C38D6"/>
    <w:rsid w:val="009C391B"/>
    <w:rsid w:val="009C4BDD"/>
    <w:rsid w:val="009C57CC"/>
    <w:rsid w:val="009C69E9"/>
    <w:rsid w:val="009D3421"/>
    <w:rsid w:val="009D35EA"/>
    <w:rsid w:val="009D3A7D"/>
    <w:rsid w:val="009D493D"/>
    <w:rsid w:val="009D4F13"/>
    <w:rsid w:val="009D5B5F"/>
    <w:rsid w:val="009D7643"/>
    <w:rsid w:val="009D769C"/>
    <w:rsid w:val="009E07B3"/>
    <w:rsid w:val="009E0EC7"/>
    <w:rsid w:val="009E135A"/>
    <w:rsid w:val="009E1883"/>
    <w:rsid w:val="009E291C"/>
    <w:rsid w:val="009E2A91"/>
    <w:rsid w:val="009E3423"/>
    <w:rsid w:val="009E3FD6"/>
    <w:rsid w:val="009E4248"/>
    <w:rsid w:val="009E4978"/>
    <w:rsid w:val="009E5B64"/>
    <w:rsid w:val="009E6A42"/>
    <w:rsid w:val="009E7D48"/>
    <w:rsid w:val="009F0279"/>
    <w:rsid w:val="009F10E4"/>
    <w:rsid w:val="009F27DB"/>
    <w:rsid w:val="009F38B5"/>
    <w:rsid w:val="009F4177"/>
    <w:rsid w:val="009F692B"/>
    <w:rsid w:val="009F77B8"/>
    <w:rsid w:val="009F796F"/>
    <w:rsid w:val="00A001E1"/>
    <w:rsid w:val="00A00A23"/>
    <w:rsid w:val="00A01C5E"/>
    <w:rsid w:val="00A01F89"/>
    <w:rsid w:val="00A01FB6"/>
    <w:rsid w:val="00A03276"/>
    <w:rsid w:val="00A03824"/>
    <w:rsid w:val="00A03F61"/>
    <w:rsid w:val="00A04DF5"/>
    <w:rsid w:val="00A06AE9"/>
    <w:rsid w:val="00A07836"/>
    <w:rsid w:val="00A1062F"/>
    <w:rsid w:val="00A1075B"/>
    <w:rsid w:val="00A10AAD"/>
    <w:rsid w:val="00A10DFC"/>
    <w:rsid w:val="00A116CB"/>
    <w:rsid w:val="00A120F2"/>
    <w:rsid w:val="00A129C7"/>
    <w:rsid w:val="00A140BB"/>
    <w:rsid w:val="00A142EF"/>
    <w:rsid w:val="00A151D8"/>
    <w:rsid w:val="00A160C9"/>
    <w:rsid w:val="00A178DA"/>
    <w:rsid w:val="00A2136B"/>
    <w:rsid w:val="00A2374C"/>
    <w:rsid w:val="00A24BB1"/>
    <w:rsid w:val="00A250BB"/>
    <w:rsid w:val="00A26FEB"/>
    <w:rsid w:val="00A307E4"/>
    <w:rsid w:val="00A315AD"/>
    <w:rsid w:val="00A33894"/>
    <w:rsid w:val="00A33DBA"/>
    <w:rsid w:val="00A34CE9"/>
    <w:rsid w:val="00A357F4"/>
    <w:rsid w:val="00A35DB6"/>
    <w:rsid w:val="00A3770B"/>
    <w:rsid w:val="00A407EB"/>
    <w:rsid w:val="00A40EEC"/>
    <w:rsid w:val="00A417DB"/>
    <w:rsid w:val="00A41D52"/>
    <w:rsid w:val="00A422DA"/>
    <w:rsid w:val="00A427E6"/>
    <w:rsid w:val="00A4338C"/>
    <w:rsid w:val="00A43A7A"/>
    <w:rsid w:val="00A4465D"/>
    <w:rsid w:val="00A44763"/>
    <w:rsid w:val="00A4537D"/>
    <w:rsid w:val="00A463BA"/>
    <w:rsid w:val="00A515D4"/>
    <w:rsid w:val="00A51A6F"/>
    <w:rsid w:val="00A53DA2"/>
    <w:rsid w:val="00A53EB0"/>
    <w:rsid w:val="00A5455C"/>
    <w:rsid w:val="00A56520"/>
    <w:rsid w:val="00A5783D"/>
    <w:rsid w:val="00A57D3E"/>
    <w:rsid w:val="00A57E4B"/>
    <w:rsid w:val="00A6010D"/>
    <w:rsid w:val="00A6097D"/>
    <w:rsid w:val="00A61F9D"/>
    <w:rsid w:val="00A625D5"/>
    <w:rsid w:val="00A62E55"/>
    <w:rsid w:val="00A6387C"/>
    <w:rsid w:val="00A63D0A"/>
    <w:rsid w:val="00A65135"/>
    <w:rsid w:val="00A66145"/>
    <w:rsid w:val="00A70132"/>
    <w:rsid w:val="00A7097C"/>
    <w:rsid w:val="00A7126B"/>
    <w:rsid w:val="00A71802"/>
    <w:rsid w:val="00A72119"/>
    <w:rsid w:val="00A72460"/>
    <w:rsid w:val="00A72B6A"/>
    <w:rsid w:val="00A73B33"/>
    <w:rsid w:val="00A73BEB"/>
    <w:rsid w:val="00A742D8"/>
    <w:rsid w:val="00A74C31"/>
    <w:rsid w:val="00A74F6F"/>
    <w:rsid w:val="00A7528F"/>
    <w:rsid w:val="00A755BC"/>
    <w:rsid w:val="00A761CB"/>
    <w:rsid w:val="00A76D9E"/>
    <w:rsid w:val="00A77530"/>
    <w:rsid w:val="00A8021E"/>
    <w:rsid w:val="00A804FB"/>
    <w:rsid w:val="00A80911"/>
    <w:rsid w:val="00A84362"/>
    <w:rsid w:val="00A84ABE"/>
    <w:rsid w:val="00A85128"/>
    <w:rsid w:val="00A853B5"/>
    <w:rsid w:val="00A8567C"/>
    <w:rsid w:val="00A85E5F"/>
    <w:rsid w:val="00A86C12"/>
    <w:rsid w:val="00A91251"/>
    <w:rsid w:val="00A92394"/>
    <w:rsid w:val="00A9314A"/>
    <w:rsid w:val="00A9325A"/>
    <w:rsid w:val="00A957A3"/>
    <w:rsid w:val="00A95D99"/>
    <w:rsid w:val="00A97838"/>
    <w:rsid w:val="00AA1016"/>
    <w:rsid w:val="00AA18EF"/>
    <w:rsid w:val="00AA2756"/>
    <w:rsid w:val="00AA2A2F"/>
    <w:rsid w:val="00AA35B5"/>
    <w:rsid w:val="00AA3BE2"/>
    <w:rsid w:val="00AA480D"/>
    <w:rsid w:val="00AA606A"/>
    <w:rsid w:val="00AA73EA"/>
    <w:rsid w:val="00AB1D29"/>
    <w:rsid w:val="00AB32F8"/>
    <w:rsid w:val="00AB412B"/>
    <w:rsid w:val="00AB4E53"/>
    <w:rsid w:val="00AB577C"/>
    <w:rsid w:val="00AB5BC2"/>
    <w:rsid w:val="00AB6E88"/>
    <w:rsid w:val="00AB7AC9"/>
    <w:rsid w:val="00AC0F7C"/>
    <w:rsid w:val="00AC2BE5"/>
    <w:rsid w:val="00AC32F2"/>
    <w:rsid w:val="00AC411C"/>
    <w:rsid w:val="00AC4962"/>
    <w:rsid w:val="00AC5048"/>
    <w:rsid w:val="00AC553B"/>
    <w:rsid w:val="00AC6489"/>
    <w:rsid w:val="00AC66F9"/>
    <w:rsid w:val="00AD0203"/>
    <w:rsid w:val="00AD0D8D"/>
    <w:rsid w:val="00AD2362"/>
    <w:rsid w:val="00AD3609"/>
    <w:rsid w:val="00AD43C7"/>
    <w:rsid w:val="00AD4751"/>
    <w:rsid w:val="00AD527F"/>
    <w:rsid w:val="00AD5398"/>
    <w:rsid w:val="00AD56E0"/>
    <w:rsid w:val="00AD5A08"/>
    <w:rsid w:val="00AD6FE9"/>
    <w:rsid w:val="00AD78DB"/>
    <w:rsid w:val="00AD7DD0"/>
    <w:rsid w:val="00AE06A1"/>
    <w:rsid w:val="00AE417C"/>
    <w:rsid w:val="00AE4A59"/>
    <w:rsid w:val="00AE5668"/>
    <w:rsid w:val="00AE5C46"/>
    <w:rsid w:val="00AE60EE"/>
    <w:rsid w:val="00AE635E"/>
    <w:rsid w:val="00AE6682"/>
    <w:rsid w:val="00AE6CC9"/>
    <w:rsid w:val="00AE6DA5"/>
    <w:rsid w:val="00AF0A1E"/>
    <w:rsid w:val="00AF0CFD"/>
    <w:rsid w:val="00AF2C06"/>
    <w:rsid w:val="00AF32AA"/>
    <w:rsid w:val="00AF3CB6"/>
    <w:rsid w:val="00AF4226"/>
    <w:rsid w:val="00AF47C2"/>
    <w:rsid w:val="00AF4885"/>
    <w:rsid w:val="00AF598B"/>
    <w:rsid w:val="00AF6185"/>
    <w:rsid w:val="00AF6D4C"/>
    <w:rsid w:val="00AF6F32"/>
    <w:rsid w:val="00AF76CF"/>
    <w:rsid w:val="00AF7F5F"/>
    <w:rsid w:val="00B004A3"/>
    <w:rsid w:val="00B008CA"/>
    <w:rsid w:val="00B01171"/>
    <w:rsid w:val="00B015E8"/>
    <w:rsid w:val="00B02A7E"/>
    <w:rsid w:val="00B056A9"/>
    <w:rsid w:val="00B05B16"/>
    <w:rsid w:val="00B079BD"/>
    <w:rsid w:val="00B10E51"/>
    <w:rsid w:val="00B122EF"/>
    <w:rsid w:val="00B132C3"/>
    <w:rsid w:val="00B149C3"/>
    <w:rsid w:val="00B15179"/>
    <w:rsid w:val="00B170A3"/>
    <w:rsid w:val="00B214FE"/>
    <w:rsid w:val="00B22383"/>
    <w:rsid w:val="00B23EA3"/>
    <w:rsid w:val="00B24A9B"/>
    <w:rsid w:val="00B25178"/>
    <w:rsid w:val="00B25C3A"/>
    <w:rsid w:val="00B2653C"/>
    <w:rsid w:val="00B26664"/>
    <w:rsid w:val="00B26754"/>
    <w:rsid w:val="00B305D0"/>
    <w:rsid w:val="00B307C6"/>
    <w:rsid w:val="00B30A70"/>
    <w:rsid w:val="00B310CB"/>
    <w:rsid w:val="00B31446"/>
    <w:rsid w:val="00B31A57"/>
    <w:rsid w:val="00B3282A"/>
    <w:rsid w:val="00B3393C"/>
    <w:rsid w:val="00B351A5"/>
    <w:rsid w:val="00B3521A"/>
    <w:rsid w:val="00B3595B"/>
    <w:rsid w:val="00B35E30"/>
    <w:rsid w:val="00B35F34"/>
    <w:rsid w:val="00B36553"/>
    <w:rsid w:val="00B36817"/>
    <w:rsid w:val="00B36C64"/>
    <w:rsid w:val="00B36D70"/>
    <w:rsid w:val="00B37B7B"/>
    <w:rsid w:val="00B41E9B"/>
    <w:rsid w:val="00B436A7"/>
    <w:rsid w:val="00B4396D"/>
    <w:rsid w:val="00B4404B"/>
    <w:rsid w:val="00B4582C"/>
    <w:rsid w:val="00B45EEB"/>
    <w:rsid w:val="00B46238"/>
    <w:rsid w:val="00B467F1"/>
    <w:rsid w:val="00B46B21"/>
    <w:rsid w:val="00B46BF8"/>
    <w:rsid w:val="00B46DC1"/>
    <w:rsid w:val="00B476A0"/>
    <w:rsid w:val="00B47E55"/>
    <w:rsid w:val="00B50BFE"/>
    <w:rsid w:val="00B52C14"/>
    <w:rsid w:val="00B549F0"/>
    <w:rsid w:val="00B553FC"/>
    <w:rsid w:val="00B554B9"/>
    <w:rsid w:val="00B56ADF"/>
    <w:rsid w:val="00B56D26"/>
    <w:rsid w:val="00B600A4"/>
    <w:rsid w:val="00B61FB2"/>
    <w:rsid w:val="00B64195"/>
    <w:rsid w:val="00B642D7"/>
    <w:rsid w:val="00B64F40"/>
    <w:rsid w:val="00B64FBB"/>
    <w:rsid w:val="00B64FBC"/>
    <w:rsid w:val="00B65DB2"/>
    <w:rsid w:val="00B672BB"/>
    <w:rsid w:val="00B7076B"/>
    <w:rsid w:val="00B7170B"/>
    <w:rsid w:val="00B71C58"/>
    <w:rsid w:val="00B72C91"/>
    <w:rsid w:val="00B72E3B"/>
    <w:rsid w:val="00B73EA7"/>
    <w:rsid w:val="00B745D0"/>
    <w:rsid w:val="00B74E53"/>
    <w:rsid w:val="00B76D1F"/>
    <w:rsid w:val="00B7754B"/>
    <w:rsid w:val="00B77D54"/>
    <w:rsid w:val="00B823B6"/>
    <w:rsid w:val="00B82A4D"/>
    <w:rsid w:val="00B83279"/>
    <w:rsid w:val="00B839A3"/>
    <w:rsid w:val="00B84674"/>
    <w:rsid w:val="00B85B0B"/>
    <w:rsid w:val="00B866CC"/>
    <w:rsid w:val="00B8692E"/>
    <w:rsid w:val="00B86BAD"/>
    <w:rsid w:val="00B878A1"/>
    <w:rsid w:val="00B9046C"/>
    <w:rsid w:val="00B90DAC"/>
    <w:rsid w:val="00B93E1A"/>
    <w:rsid w:val="00B95F03"/>
    <w:rsid w:val="00B96515"/>
    <w:rsid w:val="00BA0331"/>
    <w:rsid w:val="00BA1DDB"/>
    <w:rsid w:val="00BA386D"/>
    <w:rsid w:val="00BA39CE"/>
    <w:rsid w:val="00BA3DC0"/>
    <w:rsid w:val="00BA3EDC"/>
    <w:rsid w:val="00BA50DC"/>
    <w:rsid w:val="00BA54AB"/>
    <w:rsid w:val="00BA6E0F"/>
    <w:rsid w:val="00BA6E42"/>
    <w:rsid w:val="00BA739D"/>
    <w:rsid w:val="00BB03A9"/>
    <w:rsid w:val="00BB0790"/>
    <w:rsid w:val="00BB0DD1"/>
    <w:rsid w:val="00BB39C3"/>
    <w:rsid w:val="00BB432C"/>
    <w:rsid w:val="00BB72D1"/>
    <w:rsid w:val="00BB7981"/>
    <w:rsid w:val="00BC1C1B"/>
    <w:rsid w:val="00BC21A4"/>
    <w:rsid w:val="00BC2E6B"/>
    <w:rsid w:val="00BC322B"/>
    <w:rsid w:val="00BC3A06"/>
    <w:rsid w:val="00BC3EDB"/>
    <w:rsid w:val="00BC6322"/>
    <w:rsid w:val="00BC6356"/>
    <w:rsid w:val="00BC79E1"/>
    <w:rsid w:val="00BD0B55"/>
    <w:rsid w:val="00BD0E46"/>
    <w:rsid w:val="00BD108A"/>
    <w:rsid w:val="00BD3AE4"/>
    <w:rsid w:val="00BD429B"/>
    <w:rsid w:val="00BD50CE"/>
    <w:rsid w:val="00BD5405"/>
    <w:rsid w:val="00BD55CF"/>
    <w:rsid w:val="00BD5620"/>
    <w:rsid w:val="00BE09F2"/>
    <w:rsid w:val="00BE0DB1"/>
    <w:rsid w:val="00BE0ED3"/>
    <w:rsid w:val="00BE344F"/>
    <w:rsid w:val="00BE6680"/>
    <w:rsid w:val="00BE66C9"/>
    <w:rsid w:val="00BE7565"/>
    <w:rsid w:val="00BE7BA5"/>
    <w:rsid w:val="00BE7C7D"/>
    <w:rsid w:val="00BF177F"/>
    <w:rsid w:val="00BF1EFB"/>
    <w:rsid w:val="00BF420E"/>
    <w:rsid w:val="00BF4672"/>
    <w:rsid w:val="00BF53F1"/>
    <w:rsid w:val="00C017AD"/>
    <w:rsid w:val="00C01B45"/>
    <w:rsid w:val="00C031C1"/>
    <w:rsid w:val="00C038AD"/>
    <w:rsid w:val="00C03ED2"/>
    <w:rsid w:val="00C055E6"/>
    <w:rsid w:val="00C05702"/>
    <w:rsid w:val="00C0602A"/>
    <w:rsid w:val="00C11083"/>
    <w:rsid w:val="00C11F5E"/>
    <w:rsid w:val="00C11FA7"/>
    <w:rsid w:val="00C12312"/>
    <w:rsid w:val="00C12439"/>
    <w:rsid w:val="00C129CF"/>
    <w:rsid w:val="00C12AC5"/>
    <w:rsid w:val="00C1382A"/>
    <w:rsid w:val="00C152C6"/>
    <w:rsid w:val="00C15B44"/>
    <w:rsid w:val="00C168FE"/>
    <w:rsid w:val="00C17915"/>
    <w:rsid w:val="00C17EC4"/>
    <w:rsid w:val="00C21187"/>
    <w:rsid w:val="00C23980"/>
    <w:rsid w:val="00C23E03"/>
    <w:rsid w:val="00C24081"/>
    <w:rsid w:val="00C240CA"/>
    <w:rsid w:val="00C25996"/>
    <w:rsid w:val="00C26FE0"/>
    <w:rsid w:val="00C27365"/>
    <w:rsid w:val="00C27A8D"/>
    <w:rsid w:val="00C311DA"/>
    <w:rsid w:val="00C321C3"/>
    <w:rsid w:val="00C32D91"/>
    <w:rsid w:val="00C33228"/>
    <w:rsid w:val="00C33DBC"/>
    <w:rsid w:val="00C343C4"/>
    <w:rsid w:val="00C3457F"/>
    <w:rsid w:val="00C3458A"/>
    <w:rsid w:val="00C34DBE"/>
    <w:rsid w:val="00C35C0A"/>
    <w:rsid w:val="00C36763"/>
    <w:rsid w:val="00C401DC"/>
    <w:rsid w:val="00C41259"/>
    <w:rsid w:val="00C41F53"/>
    <w:rsid w:val="00C42B72"/>
    <w:rsid w:val="00C4350F"/>
    <w:rsid w:val="00C43F23"/>
    <w:rsid w:val="00C44F1C"/>
    <w:rsid w:val="00C45034"/>
    <w:rsid w:val="00C451A1"/>
    <w:rsid w:val="00C45783"/>
    <w:rsid w:val="00C46929"/>
    <w:rsid w:val="00C469B9"/>
    <w:rsid w:val="00C512AD"/>
    <w:rsid w:val="00C53B9F"/>
    <w:rsid w:val="00C540EC"/>
    <w:rsid w:val="00C54E38"/>
    <w:rsid w:val="00C555EF"/>
    <w:rsid w:val="00C5568B"/>
    <w:rsid w:val="00C566F8"/>
    <w:rsid w:val="00C56BBE"/>
    <w:rsid w:val="00C60207"/>
    <w:rsid w:val="00C63B39"/>
    <w:rsid w:val="00C63D04"/>
    <w:rsid w:val="00C658B7"/>
    <w:rsid w:val="00C659D1"/>
    <w:rsid w:val="00C66A7D"/>
    <w:rsid w:val="00C66DF7"/>
    <w:rsid w:val="00C670F4"/>
    <w:rsid w:val="00C67E9B"/>
    <w:rsid w:val="00C700C4"/>
    <w:rsid w:val="00C702A9"/>
    <w:rsid w:val="00C723C3"/>
    <w:rsid w:val="00C73D1F"/>
    <w:rsid w:val="00C74691"/>
    <w:rsid w:val="00C749FA"/>
    <w:rsid w:val="00C74BCF"/>
    <w:rsid w:val="00C74D0F"/>
    <w:rsid w:val="00C7509A"/>
    <w:rsid w:val="00C77F42"/>
    <w:rsid w:val="00C8098E"/>
    <w:rsid w:val="00C80FA1"/>
    <w:rsid w:val="00C81D03"/>
    <w:rsid w:val="00C82607"/>
    <w:rsid w:val="00C826BB"/>
    <w:rsid w:val="00C82A85"/>
    <w:rsid w:val="00C83E1E"/>
    <w:rsid w:val="00C866FC"/>
    <w:rsid w:val="00C8706B"/>
    <w:rsid w:val="00C87BA7"/>
    <w:rsid w:val="00C87D85"/>
    <w:rsid w:val="00C87FB1"/>
    <w:rsid w:val="00C90681"/>
    <w:rsid w:val="00C909F6"/>
    <w:rsid w:val="00C93703"/>
    <w:rsid w:val="00C93D85"/>
    <w:rsid w:val="00C94204"/>
    <w:rsid w:val="00C9427B"/>
    <w:rsid w:val="00C94774"/>
    <w:rsid w:val="00C9543B"/>
    <w:rsid w:val="00C95A3B"/>
    <w:rsid w:val="00C95F4D"/>
    <w:rsid w:val="00C96A42"/>
    <w:rsid w:val="00CA13DA"/>
    <w:rsid w:val="00CA1EB7"/>
    <w:rsid w:val="00CA302D"/>
    <w:rsid w:val="00CA30F1"/>
    <w:rsid w:val="00CA498D"/>
    <w:rsid w:val="00CA5E3C"/>
    <w:rsid w:val="00CA637D"/>
    <w:rsid w:val="00CA63A7"/>
    <w:rsid w:val="00CA6DC0"/>
    <w:rsid w:val="00CA7171"/>
    <w:rsid w:val="00CA737D"/>
    <w:rsid w:val="00CA73FF"/>
    <w:rsid w:val="00CA7B9A"/>
    <w:rsid w:val="00CB0933"/>
    <w:rsid w:val="00CB1363"/>
    <w:rsid w:val="00CB21C2"/>
    <w:rsid w:val="00CB2A2A"/>
    <w:rsid w:val="00CB3609"/>
    <w:rsid w:val="00CB3840"/>
    <w:rsid w:val="00CB3C7A"/>
    <w:rsid w:val="00CB71BB"/>
    <w:rsid w:val="00CB7C50"/>
    <w:rsid w:val="00CC004D"/>
    <w:rsid w:val="00CC2FD8"/>
    <w:rsid w:val="00CC3A0F"/>
    <w:rsid w:val="00CC3A8E"/>
    <w:rsid w:val="00CC5B68"/>
    <w:rsid w:val="00CC69B0"/>
    <w:rsid w:val="00CC6B04"/>
    <w:rsid w:val="00CC7D32"/>
    <w:rsid w:val="00CD0F48"/>
    <w:rsid w:val="00CD28C9"/>
    <w:rsid w:val="00CD3D5E"/>
    <w:rsid w:val="00CD4927"/>
    <w:rsid w:val="00CD4EDD"/>
    <w:rsid w:val="00CD56DC"/>
    <w:rsid w:val="00CD5CAC"/>
    <w:rsid w:val="00CD6F01"/>
    <w:rsid w:val="00CE01BA"/>
    <w:rsid w:val="00CE2530"/>
    <w:rsid w:val="00CE27B1"/>
    <w:rsid w:val="00CE33AD"/>
    <w:rsid w:val="00CE353A"/>
    <w:rsid w:val="00CE3B70"/>
    <w:rsid w:val="00CE5580"/>
    <w:rsid w:val="00CE6E6B"/>
    <w:rsid w:val="00CF1234"/>
    <w:rsid w:val="00CF2ADD"/>
    <w:rsid w:val="00CF4F86"/>
    <w:rsid w:val="00CF54AF"/>
    <w:rsid w:val="00CF569B"/>
    <w:rsid w:val="00CF5C06"/>
    <w:rsid w:val="00D02DC6"/>
    <w:rsid w:val="00D034B4"/>
    <w:rsid w:val="00D043B9"/>
    <w:rsid w:val="00D11184"/>
    <w:rsid w:val="00D12309"/>
    <w:rsid w:val="00D1299C"/>
    <w:rsid w:val="00D1377C"/>
    <w:rsid w:val="00D14152"/>
    <w:rsid w:val="00D1465C"/>
    <w:rsid w:val="00D15A41"/>
    <w:rsid w:val="00D171AD"/>
    <w:rsid w:val="00D176B4"/>
    <w:rsid w:val="00D20464"/>
    <w:rsid w:val="00D20C3A"/>
    <w:rsid w:val="00D21338"/>
    <w:rsid w:val="00D21714"/>
    <w:rsid w:val="00D227FF"/>
    <w:rsid w:val="00D23CCE"/>
    <w:rsid w:val="00D246E3"/>
    <w:rsid w:val="00D25F41"/>
    <w:rsid w:val="00D266D7"/>
    <w:rsid w:val="00D31DC3"/>
    <w:rsid w:val="00D31E40"/>
    <w:rsid w:val="00D34BD9"/>
    <w:rsid w:val="00D351EC"/>
    <w:rsid w:val="00D360E8"/>
    <w:rsid w:val="00D42D75"/>
    <w:rsid w:val="00D4419B"/>
    <w:rsid w:val="00D5026E"/>
    <w:rsid w:val="00D50B75"/>
    <w:rsid w:val="00D5172C"/>
    <w:rsid w:val="00D5248B"/>
    <w:rsid w:val="00D528B5"/>
    <w:rsid w:val="00D5345F"/>
    <w:rsid w:val="00D54410"/>
    <w:rsid w:val="00D54A6C"/>
    <w:rsid w:val="00D57224"/>
    <w:rsid w:val="00D60965"/>
    <w:rsid w:val="00D619DC"/>
    <w:rsid w:val="00D61CCA"/>
    <w:rsid w:val="00D61F18"/>
    <w:rsid w:val="00D62B4D"/>
    <w:rsid w:val="00D63018"/>
    <w:rsid w:val="00D6441D"/>
    <w:rsid w:val="00D6456C"/>
    <w:rsid w:val="00D65306"/>
    <w:rsid w:val="00D663A8"/>
    <w:rsid w:val="00D67949"/>
    <w:rsid w:val="00D70A4C"/>
    <w:rsid w:val="00D71601"/>
    <w:rsid w:val="00D71CB0"/>
    <w:rsid w:val="00D73C7E"/>
    <w:rsid w:val="00D74045"/>
    <w:rsid w:val="00D762F9"/>
    <w:rsid w:val="00D76F62"/>
    <w:rsid w:val="00D76F73"/>
    <w:rsid w:val="00D802FE"/>
    <w:rsid w:val="00D81692"/>
    <w:rsid w:val="00D82D1B"/>
    <w:rsid w:val="00D8399B"/>
    <w:rsid w:val="00D83B6B"/>
    <w:rsid w:val="00D83ECA"/>
    <w:rsid w:val="00D83FD9"/>
    <w:rsid w:val="00D84025"/>
    <w:rsid w:val="00D840A4"/>
    <w:rsid w:val="00D845BA"/>
    <w:rsid w:val="00D8511C"/>
    <w:rsid w:val="00D87EF0"/>
    <w:rsid w:val="00D9179A"/>
    <w:rsid w:val="00D92EA3"/>
    <w:rsid w:val="00D9387B"/>
    <w:rsid w:val="00D94C83"/>
    <w:rsid w:val="00D96AA6"/>
    <w:rsid w:val="00DA003F"/>
    <w:rsid w:val="00DA01DC"/>
    <w:rsid w:val="00DA0BE4"/>
    <w:rsid w:val="00DA0E28"/>
    <w:rsid w:val="00DA194D"/>
    <w:rsid w:val="00DA1BDF"/>
    <w:rsid w:val="00DA4385"/>
    <w:rsid w:val="00DA4E84"/>
    <w:rsid w:val="00DA4F8B"/>
    <w:rsid w:val="00DA54C5"/>
    <w:rsid w:val="00DA60C9"/>
    <w:rsid w:val="00DA62B7"/>
    <w:rsid w:val="00DA7402"/>
    <w:rsid w:val="00DB0505"/>
    <w:rsid w:val="00DB0F39"/>
    <w:rsid w:val="00DB2F2C"/>
    <w:rsid w:val="00DB31FB"/>
    <w:rsid w:val="00DB329D"/>
    <w:rsid w:val="00DB33D5"/>
    <w:rsid w:val="00DB3743"/>
    <w:rsid w:val="00DB4252"/>
    <w:rsid w:val="00DB4D70"/>
    <w:rsid w:val="00DB562B"/>
    <w:rsid w:val="00DB5636"/>
    <w:rsid w:val="00DB5802"/>
    <w:rsid w:val="00DB5DEA"/>
    <w:rsid w:val="00DC15E1"/>
    <w:rsid w:val="00DC16C0"/>
    <w:rsid w:val="00DC2AAB"/>
    <w:rsid w:val="00DC3CEE"/>
    <w:rsid w:val="00DC588B"/>
    <w:rsid w:val="00DC59B3"/>
    <w:rsid w:val="00DC71C6"/>
    <w:rsid w:val="00DC7892"/>
    <w:rsid w:val="00DC7A7C"/>
    <w:rsid w:val="00DD129B"/>
    <w:rsid w:val="00DD1ED9"/>
    <w:rsid w:val="00DD28A5"/>
    <w:rsid w:val="00DD343F"/>
    <w:rsid w:val="00DD4146"/>
    <w:rsid w:val="00DD4869"/>
    <w:rsid w:val="00DD5C6E"/>
    <w:rsid w:val="00DD6326"/>
    <w:rsid w:val="00DD6A36"/>
    <w:rsid w:val="00DD6B30"/>
    <w:rsid w:val="00DD6E33"/>
    <w:rsid w:val="00DE10D7"/>
    <w:rsid w:val="00DE1E70"/>
    <w:rsid w:val="00DE20ED"/>
    <w:rsid w:val="00DE2AF7"/>
    <w:rsid w:val="00DE3DE1"/>
    <w:rsid w:val="00DE4BDE"/>
    <w:rsid w:val="00DE63FA"/>
    <w:rsid w:val="00DE7D88"/>
    <w:rsid w:val="00DF12E1"/>
    <w:rsid w:val="00DF2097"/>
    <w:rsid w:val="00DF38E7"/>
    <w:rsid w:val="00DF755E"/>
    <w:rsid w:val="00DF7B8E"/>
    <w:rsid w:val="00E0098D"/>
    <w:rsid w:val="00E01FC2"/>
    <w:rsid w:val="00E028E3"/>
    <w:rsid w:val="00E02CAF"/>
    <w:rsid w:val="00E04C77"/>
    <w:rsid w:val="00E05738"/>
    <w:rsid w:val="00E0684A"/>
    <w:rsid w:val="00E1002B"/>
    <w:rsid w:val="00E105DE"/>
    <w:rsid w:val="00E10660"/>
    <w:rsid w:val="00E11A09"/>
    <w:rsid w:val="00E12209"/>
    <w:rsid w:val="00E129C4"/>
    <w:rsid w:val="00E12D67"/>
    <w:rsid w:val="00E12E24"/>
    <w:rsid w:val="00E1325D"/>
    <w:rsid w:val="00E136C8"/>
    <w:rsid w:val="00E13C92"/>
    <w:rsid w:val="00E1641A"/>
    <w:rsid w:val="00E1645F"/>
    <w:rsid w:val="00E200B0"/>
    <w:rsid w:val="00E231B9"/>
    <w:rsid w:val="00E23453"/>
    <w:rsid w:val="00E255F1"/>
    <w:rsid w:val="00E275ED"/>
    <w:rsid w:val="00E3009D"/>
    <w:rsid w:val="00E31730"/>
    <w:rsid w:val="00E32083"/>
    <w:rsid w:val="00E3320F"/>
    <w:rsid w:val="00E33668"/>
    <w:rsid w:val="00E33B80"/>
    <w:rsid w:val="00E34095"/>
    <w:rsid w:val="00E34DC5"/>
    <w:rsid w:val="00E351DB"/>
    <w:rsid w:val="00E35D77"/>
    <w:rsid w:val="00E36B0B"/>
    <w:rsid w:val="00E379BA"/>
    <w:rsid w:val="00E4095C"/>
    <w:rsid w:val="00E40BA0"/>
    <w:rsid w:val="00E419CC"/>
    <w:rsid w:val="00E43CF6"/>
    <w:rsid w:val="00E44D5B"/>
    <w:rsid w:val="00E44F06"/>
    <w:rsid w:val="00E46992"/>
    <w:rsid w:val="00E47A69"/>
    <w:rsid w:val="00E47AF6"/>
    <w:rsid w:val="00E504D1"/>
    <w:rsid w:val="00E505E7"/>
    <w:rsid w:val="00E53EE7"/>
    <w:rsid w:val="00E5599B"/>
    <w:rsid w:val="00E55F32"/>
    <w:rsid w:val="00E57C3D"/>
    <w:rsid w:val="00E6186A"/>
    <w:rsid w:val="00E61A84"/>
    <w:rsid w:val="00E61D14"/>
    <w:rsid w:val="00E62101"/>
    <w:rsid w:val="00E62183"/>
    <w:rsid w:val="00E63439"/>
    <w:rsid w:val="00E655C2"/>
    <w:rsid w:val="00E65FAE"/>
    <w:rsid w:val="00E66491"/>
    <w:rsid w:val="00E67400"/>
    <w:rsid w:val="00E676A5"/>
    <w:rsid w:val="00E7147B"/>
    <w:rsid w:val="00E72E0C"/>
    <w:rsid w:val="00E740CA"/>
    <w:rsid w:val="00E74798"/>
    <w:rsid w:val="00E74EE4"/>
    <w:rsid w:val="00E7573E"/>
    <w:rsid w:val="00E80F45"/>
    <w:rsid w:val="00E81339"/>
    <w:rsid w:val="00E82E5C"/>
    <w:rsid w:val="00E83DD2"/>
    <w:rsid w:val="00E8536B"/>
    <w:rsid w:val="00E86007"/>
    <w:rsid w:val="00E87781"/>
    <w:rsid w:val="00E90755"/>
    <w:rsid w:val="00E91797"/>
    <w:rsid w:val="00E91A52"/>
    <w:rsid w:val="00E91A69"/>
    <w:rsid w:val="00E92957"/>
    <w:rsid w:val="00E93524"/>
    <w:rsid w:val="00E93B2F"/>
    <w:rsid w:val="00E9688B"/>
    <w:rsid w:val="00E9715A"/>
    <w:rsid w:val="00EA0178"/>
    <w:rsid w:val="00EA0C30"/>
    <w:rsid w:val="00EA350C"/>
    <w:rsid w:val="00EA3956"/>
    <w:rsid w:val="00EA3AE5"/>
    <w:rsid w:val="00EA3F34"/>
    <w:rsid w:val="00EA54F8"/>
    <w:rsid w:val="00EA5D57"/>
    <w:rsid w:val="00EA7393"/>
    <w:rsid w:val="00EB1335"/>
    <w:rsid w:val="00EB2178"/>
    <w:rsid w:val="00EB2F08"/>
    <w:rsid w:val="00EB2F20"/>
    <w:rsid w:val="00EB31E6"/>
    <w:rsid w:val="00EB3BE1"/>
    <w:rsid w:val="00EB4F89"/>
    <w:rsid w:val="00EB5388"/>
    <w:rsid w:val="00EB71B4"/>
    <w:rsid w:val="00EB7832"/>
    <w:rsid w:val="00EC1F92"/>
    <w:rsid w:val="00EC34D3"/>
    <w:rsid w:val="00EC353E"/>
    <w:rsid w:val="00EC46F9"/>
    <w:rsid w:val="00EC4C8B"/>
    <w:rsid w:val="00EC5D9C"/>
    <w:rsid w:val="00EC6918"/>
    <w:rsid w:val="00EC7244"/>
    <w:rsid w:val="00ED1B89"/>
    <w:rsid w:val="00ED270E"/>
    <w:rsid w:val="00ED79C5"/>
    <w:rsid w:val="00EE0292"/>
    <w:rsid w:val="00EE0452"/>
    <w:rsid w:val="00EE04F2"/>
    <w:rsid w:val="00EE2995"/>
    <w:rsid w:val="00EE2B9B"/>
    <w:rsid w:val="00EE2C85"/>
    <w:rsid w:val="00EE3909"/>
    <w:rsid w:val="00EE4622"/>
    <w:rsid w:val="00EE498B"/>
    <w:rsid w:val="00EE4BAF"/>
    <w:rsid w:val="00EE7B52"/>
    <w:rsid w:val="00EE7C89"/>
    <w:rsid w:val="00EF07EE"/>
    <w:rsid w:val="00EF0BA7"/>
    <w:rsid w:val="00EF162B"/>
    <w:rsid w:val="00EF1B74"/>
    <w:rsid w:val="00EF2F91"/>
    <w:rsid w:val="00EF3D5B"/>
    <w:rsid w:val="00EF3EFD"/>
    <w:rsid w:val="00EF4A18"/>
    <w:rsid w:val="00EF6608"/>
    <w:rsid w:val="00EF667D"/>
    <w:rsid w:val="00EF7116"/>
    <w:rsid w:val="00EF74A0"/>
    <w:rsid w:val="00F00B0A"/>
    <w:rsid w:val="00F01EFD"/>
    <w:rsid w:val="00F01F00"/>
    <w:rsid w:val="00F03DC4"/>
    <w:rsid w:val="00F048FB"/>
    <w:rsid w:val="00F049CE"/>
    <w:rsid w:val="00F07877"/>
    <w:rsid w:val="00F10929"/>
    <w:rsid w:val="00F10BE8"/>
    <w:rsid w:val="00F10DBB"/>
    <w:rsid w:val="00F10EA2"/>
    <w:rsid w:val="00F143CD"/>
    <w:rsid w:val="00F147F4"/>
    <w:rsid w:val="00F15D4D"/>
    <w:rsid w:val="00F15DA5"/>
    <w:rsid w:val="00F16213"/>
    <w:rsid w:val="00F178F7"/>
    <w:rsid w:val="00F203D4"/>
    <w:rsid w:val="00F20DFA"/>
    <w:rsid w:val="00F20ECD"/>
    <w:rsid w:val="00F21A46"/>
    <w:rsid w:val="00F227A2"/>
    <w:rsid w:val="00F231CB"/>
    <w:rsid w:val="00F235AB"/>
    <w:rsid w:val="00F23A8D"/>
    <w:rsid w:val="00F23ADA"/>
    <w:rsid w:val="00F2497E"/>
    <w:rsid w:val="00F25F88"/>
    <w:rsid w:val="00F26D8C"/>
    <w:rsid w:val="00F3161A"/>
    <w:rsid w:val="00F31771"/>
    <w:rsid w:val="00F35124"/>
    <w:rsid w:val="00F35300"/>
    <w:rsid w:val="00F35C20"/>
    <w:rsid w:val="00F35F73"/>
    <w:rsid w:val="00F35FB3"/>
    <w:rsid w:val="00F37F72"/>
    <w:rsid w:val="00F404F0"/>
    <w:rsid w:val="00F42EB7"/>
    <w:rsid w:val="00F441DB"/>
    <w:rsid w:val="00F5019C"/>
    <w:rsid w:val="00F5212B"/>
    <w:rsid w:val="00F52524"/>
    <w:rsid w:val="00F52EC9"/>
    <w:rsid w:val="00F53DE6"/>
    <w:rsid w:val="00F55648"/>
    <w:rsid w:val="00F56AE6"/>
    <w:rsid w:val="00F56F52"/>
    <w:rsid w:val="00F57071"/>
    <w:rsid w:val="00F607FD"/>
    <w:rsid w:val="00F60980"/>
    <w:rsid w:val="00F61294"/>
    <w:rsid w:val="00F619F0"/>
    <w:rsid w:val="00F62625"/>
    <w:rsid w:val="00F63048"/>
    <w:rsid w:val="00F631EC"/>
    <w:rsid w:val="00F63731"/>
    <w:rsid w:val="00F640CE"/>
    <w:rsid w:val="00F6557A"/>
    <w:rsid w:val="00F66CA9"/>
    <w:rsid w:val="00F733C4"/>
    <w:rsid w:val="00F7736A"/>
    <w:rsid w:val="00F776BE"/>
    <w:rsid w:val="00F80E05"/>
    <w:rsid w:val="00F811D2"/>
    <w:rsid w:val="00F8251A"/>
    <w:rsid w:val="00F82DE9"/>
    <w:rsid w:val="00F84823"/>
    <w:rsid w:val="00F8568C"/>
    <w:rsid w:val="00F85D53"/>
    <w:rsid w:val="00F86315"/>
    <w:rsid w:val="00F86798"/>
    <w:rsid w:val="00F868AB"/>
    <w:rsid w:val="00F86A67"/>
    <w:rsid w:val="00F87106"/>
    <w:rsid w:val="00F873C7"/>
    <w:rsid w:val="00F913C3"/>
    <w:rsid w:val="00F91C63"/>
    <w:rsid w:val="00F95245"/>
    <w:rsid w:val="00F953C7"/>
    <w:rsid w:val="00F9551A"/>
    <w:rsid w:val="00F976BB"/>
    <w:rsid w:val="00FA280F"/>
    <w:rsid w:val="00FA327B"/>
    <w:rsid w:val="00FA359A"/>
    <w:rsid w:val="00FA4878"/>
    <w:rsid w:val="00FA564A"/>
    <w:rsid w:val="00FA666B"/>
    <w:rsid w:val="00FA67B0"/>
    <w:rsid w:val="00FA742D"/>
    <w:rsid w:val="00FB100F"/>
    <w:rsid w:val="00FB31B0"/>
    <w:rsid w:val="00FB5090"/>
    <w:rsid w:val="00FB702C"/>
    <w:rsid w:val="00FB79D6"/>
    <w:rsid w:val="00FC3B00"/>
    <w:rsid w:val="00FC46E9"/>
    <w:rsid w:val="00FC6062"/>
    <w:rsid w:val="00FC77E4"/>
    <w:rsid w:val="00FC7A4C"/>
    <w:rsid w:val="00FD144F"/>
    <w:rsid w:val="00FD337A"/>
    <w:rsid w:val="00FD3DA4"/>
    <w:rsid w:val="00FD4468"/>
    <w:rsid w:val="00FD4825"/>
    <w:rsid w:val="00FD6875"/>
    <w:rsid w:val="00FE0449"/>
    <w:rsid w:val="00FE074D"/>
    <w:rsid w:val="00FE1883"/>
    <w:rsid w:val="00FE2202"/>
    <w:rsid w:val="00FE29FE"/>
    <w:rsid w:val="00FE3A64"/>
    <w:rsid w:val="00FE3FC6"/>
    <w:rsid w:val="00FF0245"/>
    <w:rsid w:val="00FF0EF6"/>
    <w:rsid w:val="00FF166E"/>
    <w:rsid w:val="00FF2876"/>
    <w:rsid w:val="00FF2988"/>
    <w:rsid w:val="00FF40B1"/>
    <w:rsid w:val="00FF45AD"/>
    <w:rsid w:val="00FF57E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FEA"/>
    <w:pPr>
      <w:jc w:val="both"/>
    </w:pPr>
    <w:rPr>
      <w:rFonts w:ascii="Garamond" w:hAnsi="Garamond"/>
    </w:rPr>
  </w:style>
  <w:style w:type="paragraph" w:styleId="Titre1">
    <w:name w:val="heading 1"/>
    <w:basedOn w:val="Normal"/>
    <w:next w:val="Normal"/>
    <w:link w:val="Titre1Car"/>
    <w:uiPriority w:val="9"/>
    <w:qFormat/>
    <w:rsid w:val="00902FEA"/>
    <w:pPr>
      <w:keepNext/>
      <w:keepLines/>
      <w:spacing w:before="480"/>
      <w:outlineLvl w:val="0"/>
    </w:pPr>
    <w:rPr>
      <w:rFonts w:eastAsiaTheme="majorEastAsia" w:cstheme="majorBidi"/>
      <w:b/>
      <w:bCs/>
      <w:color w:val="CE003C"/>
      <w:sz w:val="32"/>
      <w:szCs w:val="28"/>
    </w:rPr>
  </w:style>
  <w:style w:type="paragraph" w:styleId="Titre2">
    <w:name w:val="heading 2"/>
    <w:basedOn w:val="Normal"/>
    <w:next w:val="Normal"/>
    <w:link w:val="Titre2Car"/>
    <w:uiPriority w:val="9"/>
    <w:unhideWhenUsed/>
    <w:qFormat/>
    <w:rsid w:val="00902FEA"/>
    <w:pPr>
      <w:keepNext/>
      <w:keepLines/>
      <w:numPr>
        <w:numId w:val="5"/>
      </w:numPr>
      <w:spacing w:before="200"/>
      <w:outlineLvl w:val="1"/>
    </w:pPr>
    <w:rPr>
      <w:rFonts w:eastAsiaTheme="majorEastAsia" w:cstheme="majorBidi"/>
      <w:b/>
      <w:bCs/>
      <w:color w:val="000000" w:themeColor="text1"/>
      <w:sz w:val="28"/>
      <w:szCs w:val="26"/>
    </w:rPr>
  </w:style>
  <w:style w:type="paragraph" w:styleId="Titre3">
    <w:name w:val="heading 3"/>
    <w:basedOn w:val="Normal"/>
    <w:next w:val="Normal"/>
    <w:link w:val="Titre3Car"/>
    <w:uiPriority w:val="9"/>
    <w:unhideWhenUsed/>
    <w:qFormat/>
    <w:rsid w:val="00B4396D"/>
    <w:pPr>
      <w:keepNext/>
      <w:keepLines/>
      <w:numPr>
        <w:numId w:val="6"/>
      </w:numPr>
      <w:spacing w:before="200"/>
      <w:outlineLvl w:val="2"/>
    </w:pPr>
    <w:rPr>
      <w:rFonts w:eastAsiaTheme="majorEastAsia" w:cstheme="majorBidi"/>
      <w:bCs/>
      <w:color w:val="000000" w:themeColor="text1"/>
      <w:sz w:val="24"/>
      <w:u w:val="single"/>
    </w:rPr>
  </w:style>
  <w:style w:type="paragraph" w:styleId="Titre4">
    <w:name w:val="heading 4"/>
    <w:basedOn w:val="Normal"/>
    <w:next w:val="Normal"/>
    <w:link w:val="Titre4Car"/>
    <w:uiPriority w:val="9"/>
    <w:unhideWhenUsed/>
    <w:qFormat/>
    <w:rsid w:val="00B01171"/>
    <w:pPr>
      <w:keepNext/>
      <w:keepLines/>
      <w:numPr>
        <w:numId w:val="7"/>
      </w:numPr>
      <w:spacing w:before="100"/>
      <w:outlineLvl w:val="3"/>
    </w:pPr>
    <w:rPr>
      <w:rFonts w:eastAsiaTheme="majorEastAsia" w:cstheme="majorBidi"/>
      <w:b/>
      <w:bCs/>
      <w:i/>
      <w:iCs/>
      <w:color w:val="000000" w:themeColor="text1"/>
    </w:rPr>
  </w:style>
  <w:style w:type="paragraph" w:styleId="Titre5">
    <w:name w:val="heading 5"/>
    <w:basedOn w:val="Normal"/>
    <w:next w:val="Normal"/>
    <w:link w:val="Titre5Car"/>
    <w:uiPriority w:val="9"/>
    <w:unhideWhenUsed/>
    <w:qFormat/>
    <w:rsid w:val="00715E53"/>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nhideWhenUsed/>
    <w:qFormat/>
    <w:rsid w:val="00F20DFA"/>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unhideWhenUsed/>
    <w:qFormat/>
    <w:rsid w:val="001A039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EF1B74"/>
    <w:pPr>
      <w:ind w:left="720"/>
      <w:contextualSpacing/>
    </w:pPr>
  </w:style>
  <w:style w:type="paragraph" w:styleId="Listepuces">
    <w:name w:val="List Bullet"/>
    <w:basedOn w:val="Normal"/>
    <w:uiPriority w:val="99"/>
    <w:unhideWhenUsed/>
    <w:rsid w:val="00535242"/>
    <w:pPr>
      <w:numPr>
        <w:numId w:val="1"/>
      </w:numPr>
      <w:contextualSpacing/>
    </w:pPr>
  </w:style>
  <w:style w:type="paragraph" w:styleId="Textedebulles">
    <w:name w:val="Balloon Text"/>
    <w:basedOn w:val="Normal"/>
    <w:link w:val="TextedebullesCar"/>
    <w:uiPriority w:val="99"/>
    <w:semiHidden/>
    <w:unhideWhenUsed/>
    <w:rsid w:val="009A195E"/>
    <w:pPr>
      <w:spacing w:line="240" w:lineRule="auto"/>
    </w:pPr>
    <w:rPr>
      <w:rFonts w:cs="Tahoma"/>
      <w:sz w:val="16"/>
      <w:szCs w:val="16"/>
    </w:rPr>
  </w:style>
  <w:style w:type="character" w:customStyle="1" w:styleId="TextedebullesCar">
    <w:name w:val="Texte de bulles Car"/>
    <w:basedOn w:val="Policepardfaut"/>
    <w:link w:val="Textedebulles"/>
    <w:uiPriority w:val="99"/>
    <w:semiHidden/>
    <w:rsid w:val="009A195E"/>
    <w:rPr>
      <w:rFonts w:ascii="Tahoma" w:hAnsi="Tahoma" w:cs="Tahoma"/>
      <w:sz w:val="16"/>
      <w:szCs w:val="16"/>
    </w:rPr>
  </w:style>
  <w:style w:type="paragraph" w:styleId="En-tte">
    <w:name w:val="header"/>
    <w:basedOn w:val="Normal"/>
    <w:link w:val="En-tteCar"/>
    <w:uiPriority w:val="99"/>
    <w:unhideWhenUsed/>
    <w:rsid w:val="00252BEC"/>
    <w:pPr>
      <w:tabs>
        <w:tab w:val="center" w:pos="4536"/>
        <w:tab w:val="right" w:pos="9072"/>
      </w:tabs>
      <w:spacing w:line="240" w:lineRule="auto"/>
    </w:pPr>
  </w:style>
  <w:style w:type="character" w:customStyle="1" w:styleId="En-tteCar">
    <w:name w:val="En-tête Car"/>
    <w:basedOn w:val="Policepardfaut"/>
    <w:link w:val="En-tte"/>
    <w:uiPriority w:val="99"/>
    <w:rsid w:val="00252BEC"/>
  </w:style>
  <w:style w:type="paragraph" w:styleId="Pieddepage">
    <w:name w:val="footer"/>
    <w:basedOn w:val="Normal"/>
    <w:link w:val="PieddepageCar"/>
    <w:uiPriority w:val="99"/>
    <w:unhideWhenUsed/>
    <w:rsid w:val="00252BEC"/>
    <w:pPr>
      <w:tabs>
        <w:tab w:val="center" w:pos="4536"/>
        <w:tab w:val="right" w:pos="9072"/>
      </w:tabs>
      <w:spacing w:line="240" w:lineRule="auto"/>
    </w:pPr>
  </w:style>
  <w:style w:type="character" w:customStyle="1" w:styleId="PieddepageCar">
    <w:name w:val="Pied de page Car"/>
    <w:basedOn w:val="Policepardfaut"/>
    <w:link w:val="Pieddepage"/>
    <w:uiPriority w:val="99"/>
    <w:rsid w:val="00252BEC"/>
  </w:style>
  <w:style w:type="character" w:customStyle="1" w:styleId="Titre1Car">
    <w:name w:val="Titre 1 Car"/>
    <w:basedOn w:val="Policepardfaut"/>
    <w:link w:val="Titre1"/>
    <w:uiPriority w:val="9"/>
    <w:rsid w:val="00902FEA"/>
    <w:rPr>
      <w:rFonts w:ascii="Garamond" w:eastAsiaTheme="majorEastAsia" w:hAnsi="Garamond" w:cstheme="majorBidi"/>
      <w:b/>
      <w:bCs/>
      <w:color w:val="CE003C"/>
      <w:sz w:val="32"/>
      <w:szCs w:val="28"/>
    </w:rPr>
  </w:style>
  <w:style w:type="table" w:styleId="Grilledutableau">
    <w:name w:val="Table Grid"/>
    <w:basedOn w:val="TableauNormal"/>
    <w:uiPriority w:val="59"/>
    <w:rsid w:val="003D12B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3Car">
    <w:name w:val="Titre 3 Car"/>
    <w:basedOn w:val="Policepardfaut"/>
    <w:link w:val="Titre3"/>
    <w:uiPriority w:val="9"/>
    <w:rsid w:val="00B4396D"/>
    <w:rPr>
      <w:rFonts w:ascii="Garamond" w:eastAsiaTheme="majorEastAsia" w:hAnsi="Garamond" w:cstheme="majorBidi"/>
      <w:bCs/>
      <w:color w:val="000000" w:themeColor="text1"/>
      <w:sz w:val="24"/>
      <w:u w:val="single"/>
    </w:rPr>
  </w:style>
  <w:style w:type="paragraph" w:styleId="Corpsdetexte">
    <w:name w:val="Body Text"/>
    <w:aliases w:val="heading_txt,bodytxy2,bt,Body,OC Body Text,heading3,Body Text - Level 2,1body,BodText,body text,Body Txt,My Body Text,co"/>
    <w:basedOn w:val="Normal"/>
    <w:link w:val="CorpsdetexteCar"/>
    <w:rsid w:val="00792CD7"/>
    <w:pPr>
      <w:spacing w:line="240" w:lineRule="auto"/>
    </w:pPr>
    <w:rPr>
      <w:rFonts w:ascii="Times" w:eastAsia="Times" w:hAnsi="Times" w:cs="Times New Roman"/>
      <w:i/>
      <w:sz w:val="24"/>
      <w:szCs w:val="20"/>
      <w:lang w:eastAsia="fr-FR"/>
    </w:rPr>
  </w:style>
  <w:style w:type="character" w:customStyle="1" w:styleId="CorpsdetexteCar">
    <w:name w:val="Corps de texte Car"/>
    <w:aliases w:val="heading_txt Car,bodytxy2 Car,bt Car,Body Car,OC Body Text Car,heading3 Car,Body Text - Level 2 Car,1body Car,BodText Car,body text Car,Body Txt Car,My Body Text Car,co Car"/>
    <w:basedOn w:val="Policepardfaut"/>
    <w:link w:val="Corpsdetexte"/>
    <w:rsid w:val="00792CD7"/>
    <w:rPr>
      <w:rFonts w:ascii="Times" w:eastAsia="Times" w:hAnsi="Times" w:cs="Times New Roman"/>
      <w:i/>
      <w:sz w:val="24"/>
      <w:szCs w:val="20"/>
      <w:lang w:eastAsia="fr-FR"/>
    </w:rPr>
  </w:style>
  <w:style w:type="paragraph" w:styleId="En-ttedetabledesmatires">
    <w:name w:val="TOC Heading"/>
    <w:basedOn w:val="Titre1"/>
    <w:next w:val="Normal"/>
    <w:uiPriority w:val="39"/>
    <w:unhideWhenUsed/>
    <w:qFormat/>
    <w:rsid w:val="00F00B0A"/>
    <w:pPr>
      <w:outlineLvl w:val="9"/>
    </w:pPr>
    <w:rPr>
      <w:lang w:eastAsia="fr-FR"/>
    </w:rPr>
  </w:style>
  <w:style w:type="paragraph" w:customStyle="1" w:styleId="Style1">
    <w:name w:val="Style1"/>
    <w:basedOn w:val="Paragraphedeliste"/>
    <w:link w:val="Style1Car"/>
    <w:qFormat/>
    <w:rsid w:val="00F00B0A"/>
    <w:pPr>
      <w:ind w:left="360"/>
    </w:pPr>
    <w:rPr>
      <w:rFonts w:ascii="Arial" w:hAnsi="Arial" w:cs="Arial"/>
      <w:b/>
      <w:szCs w:val="20"/>
      <w:u w:val="single"/>
    </w:rPr>
  </w:style>
  <w:style w:type="character" w:customStyle="1" w:styleId="Titre2Car">
    <w:name w:val="Titre 2 Car"/>
    <w:basedOn w:val="Policepardfaut"/>
    <w:link w:val="Titre2"/>
    <w:uiPriority w:val="9"/>
    <w:rsid w:val="00902FEA"/>
    <w:rPr>
      <w:rFonts w:ascii="Garamond" w:eastAsiaTheme="majorEastAsia" w:hAnsi="Garamond" w:cstheme="majorBidi"/>
      <w:b/>
      <w:bCs/>
      <w:color w:val="000000" w:themeColor="text1"/>
      <w:sz w:val="28"/>
      <w:szCs w:val="26"/>
    </w:rPr>
  </w:style>
  <w:style w:type="character" w:customStyle="1" w:styleId="ParagraphedelisteCar">
    <w:name w:val="Paragraphe de liste Car"/>
    <w:basedOn w:val="Policepardfaut"/>
    <w:link w:val="Paragraphedeliste"/>
    <w:uiPriority w:val="34"/>
    <w:rsid w:val="00F00B0A"/>
  </w:style>
  <w:style w:type="character" w:customStyle="1" w:styleId="Style1Car">
    <w:name w:val="Style1 Car"/>
    <w:basedOn w:val="ParagraphedelisteCar"/>
    <w:link w:val="Style1"/>
    <w:rsid w:val="00F00B0A"/>
    <w:rPr>
      <w:rFonts w:ascii="Arial" w:hAnsi="Arial" w:cs="Arial"/>
      <w:b/>
      <w:sz w:val="20"/>
      <w:szCs w:val="20"/>
      <w:u w:val="single"/>
    </w:rPr>
  </w:style>
  <w:style w:type="paragraph" w:styleId="TM1">
    <w:name w:val="toc 1"/>
    <w:basedOn w:val="Normal"/>
    <w:next w:val="Normal"/>
    <w:autoRedefine/>
    <w:uiPriority w:val="39"/>
    <w:unhideWhenUsed/>
    <w:qFormat/>
    <w:rsid w:val="00D57224"/>
    <w:pPr>
      <w:tabs>
        <w:tab w:val="left" w:pos="660"/>
        <w:tab w:val="right" w:leader="dot" w:pos="9062"/>
      </w:tabs>
      <w:spacing w:before="120"/>
    </w:pPr>
    <w:rPr>
      <w:rFonts w:ascii="Arial" w:hAnsi="Arial" w:cs="Tahoma"/>
      <w:b/>
      <w:noProof/>
      <w:color w:val="CE003C"/>
    </w:rPr>
  </w:style>
  <w:style w:type="character" w:styleId="Lienhypertexte">
    <w:name w:val="Hyperlink"/>
    <w:basedOn w:val="Policepardfaut"/>
    <w:uiPriority w:val="99"/>
    <w:unhideWhenUsed/>
    <w:rsid w:val="00F00B0A"/>
    <w:rPr>
      <w:color w:val="0000FF" w:themeColor="hyperlink"/>
      <w:u w:val="single"/>
    </w:rPr>
  </w:style>
  <w:style w:type="paragraph" w:styleId="TM2">
    <w:name w:val="toc 2"/>
    <w:basedOn w:val="Normal"/>
    <w:next w:val="Normal"/>
    <w:autoRedefine/>
    <w:uiPriority w:val="39"/>
    <w:unhideWhenUsed/>
    <w:qFormat/>
    <w:rsid w:val="00D57224"/>
    <w:pPr>
      <w:tabs>
        <w:tab w:val="left" w:pos="660"/>
        <w:tab w:val="right" w:leader="dot" w:pos="9628"/>
      </w:tabs>
      <w:ind w:left="220"/>
    </w:pPr>
    <w:rPr>
      <w:rFonts w:cs="Tahoma"/>
      <w:b/>
      <w:noProof/>
    </w:rPr>
  </w:style>
  <w:style w:type="paragraph" w:styleId="TM3">
    <w:name w:val="toc 3"/>
    <w:basedOn w:val="Normal"/>
    <w:next w:val="Normal"/>
    <w:autoRedefine/>
    <w:uiPriority w:val="39"/>
    <w:unhideWhenUsed/>
    <w:qFormat/>
    <w:rsid w:val="00C41F53"/>
    <w:pPr>
      <w:ind w:left="440"/>
    </w:pPr>
  </w:style>
  <w:style w:type="paragraph" w:styleId="TM4">
    <w:name w:val="toc 4"/>
    <w:basedOn w:val="Normal"/>
    <w:next w:val="Normal"/>
    <w:autoRedefine/>
    <w:uiPriority w:val="39"/>
    <w:unhideWhenUsed/>
    <w:rsid w:val="003B1868"/>
    <w:pPr>
      <w:ind w:left="660"/>
    </w:pPr>
    <w:rPr>
      <w:szCs w:val="20"/>
    </w:rPr>
  </w:style>
  <w:style w:type="paragraph" w:styleId="TM5">
    <w:name w:val="toc 5"/>
    <w:basedOn w:val="Normal"/>
    <w:next w:val="Normal"/>
    <w:autoRedefine/>
    <w:uiPriority w:val="39"/>
    <w:unhideWhenUsed/>
    <w:rsid w:val="003B1868"/>
    <w:pPr>
      <w:ind w:left="880"/>
    </w:pPr>
    <w:rPr>
      <w:szCs w:val="20"/>
    </w:rPr>
  </w:style>
  <w:style w:type="paragraph" w:styleId="TM6">
    <w:name w:val="toc 6"/>
    <w:basedOn w:val="Normal"/>
    <w:next w:val="Normal"/>
    <w:autoRedefine/>
    <w:uiPriority w:val="39"/>
    <w:unhideWhenUsed/>
    <w:rsid w:val="003B1868"/>
    <w:pPr>
      <w:ind w:left="1100"/>
    </w:pPr>
    <w:rPr>
      <w:szCs w:val="20"/>
    </w:rPr>
  </w:style>
  <w:style w:type="paragraph" w:styleId="TM7">
    <w:name w:val="toc 7"/>
    <w:basedOn w:val="Normal"/>
    <w:next w:val="Normal"/>
    <w:autoRedefine/>
    <w:uiPriority w:val="39"/>
    <w:unhideWhenUsed/>
    <w:rsid w:val="003B1868"/>
    <w:pPr>
      <w:ind w:left="1320"/>
    </w:pPr>
    <w:rPr>
      <w:szCs w:val="20"/>
    </w:rPr>
  </w:style>
  <w:style w:type="paragraph" w:styleId="TM8">
    <w:name w:val="toc 8"/>
    <w:basedOn w:val="Normal"/>
    <w:next w:val="Normal"/>
    <w:autoRedefine/>
    <w:uiPriority w:val="39"/>
    <w:unhideWhenUsed/>
    <w:rsid w:val="003B1868"/>
    <w:pPr>
      <w:ind w:left="1540"/>
    </w:pPr>
    <w:rPr>
      <w:szCs w:val="20"/>
    </w:rPr>
  </w:style>
  <w:style w:type="paragraph" w:styleId="TM9">
    <w:name w:val="toc 9"/>
    <w:basedOn w:val="Normal"/>
    <w:next w:val="Normal"/>
    <w:autoRedefine/>
    <w:uiPriority w:val="39"/>
    <w:unhideWhenUsed/>
    <w:rsid w:val="003B1868"/>
    <w:pPr>
      <w:ind w:left="1760"/>
    </w:pPr>
    <w:rPr>
      <w:szCs w:val="20"/>
    </w:rPr>
  </w:style>
  <w:style w:type="character" w:styleId="Marquedecommentaire">
    <w:name w:val="annotation reference"/>
    <w:basedOn w:val="Policepardfaut"/>
    <w:uiPriority w:val="99"/>
    <w:unhideWhenUsed/>
    <w:rsid w:val="00AA35B5"/>
    <w:rPr>
      <w:sz w:val="16"/>
      <w:szCs w:val="16"/>
    </w:rPr>
  </w:style>
  <w:style w:type="paragraph" w:styleId="Commentaire">
    <w:name w:val="annotation text"/>
    <w:basedOn w:val="Normal"/>
    <w:link w:val="CommentaireCar"/>
    <w:uiPriority w:val="99"/>
    <w:semiHidden/>
    <w:unhideWhenUsed/>
    <w:rsid w:val="00AA35B5"/>
    <w:pPr>
      <w:spacing w:after="200" w:line="240" w:lineRule="auto"/>
    </w:pPr>
    <w:rPr>
      <w:szCs w:val="20"/>
    </w:rPr>
  </w:style>
  <w:style w:type="character" w:customStyle="1" w:styleId="CommentaireCar">
    <w:name w:val="Commentaire Car"/>
    <w:basedOn w:val="Policepardfaut"/>
    <w:link w:val="Commentaire"/>
    <w:uiPriority w:val="99"/>
    <w:semiHidden/>
    <w:rsid w:val="00AA35B5"/>
    <w:rPr>
      <w:sz w:val="20"/>
      <w:szCs w:val="20"/>
    </w:rPr>
  </w:style>
  <w:style w:type="paragraph" w:styleId="Notedebasdepage">
    <w:name w:val="footnote text"/>
    <w:basedOn w:val="Normal"/>
    <w:link w:val="NotedebasdepageCar"/>
    <w:uiPriority w:val="99"/>
    <w:unhideWhenUsed/>
    <w:rsid w:val="00AA35B5"/>
    <w:pPr>
      <w:spacing w:line="240" w:lineRule="auto"/>
    </w:pPr>
    <w:rPr>
      <w:sz w:val="24"/>
      <w:szCs w:val="24"/>
    </w:rPr>
  </w:style>
  <w:style w:type="character" w:customStyle="1" w:styleId="NotedebasdepageCar">
    <w:name w:val="Note de bas de page Car"/>
    <w:basedOn w:val="Policepardfaut"/>
    <w:link w:val="Notedebasdepage"/>
    <w:uiPriority w:val="99"/>
    <w:rsid w:val="00AA35B5"/>
    <w:rPr>
      <w:sz w:val="24"/>
      <w:szCs w:val="24"/>
    </w:rPr>
  </w:style>
  <w:style w:type="character" w:styleId="Appelnotedebasdep">
    <w:name w:val="footnote reference"/>
    <w:basedOn w:val="Policepardfaut"/>
    <w:uiPriority w:val="99"/>
    <w:unhideWhenUsed/>
    <w:rsid w:val="00AA35B5"/>
    <w:rPr>
      <w:vertAlign w:val="superscript"/>
    </w:rPr>
  </w:style>
  <w:style w:type="paragraph" w:styleId="Objetducommentaire">
    <w:name w:val="annotation subject"/>
    <w:basedOn w:val="Commentaire"/>
    <w:next w:val="Commentaire"/>
    <w:link w:val="ObjetducommentaireCar"/>
    <w:uiPriority w:val="99"/>
    <w:semiHidden/>
    <w:unhideWhenUsed/>
    <w:rsid w:val="00432B06"/>
    <w:pPr>
      <w:spacing w:after="0"/>
    </w:pPr>
    <w:rPr>
      <w:b/>
      <w:bCs/>
    </w:rPr>
  </w:style>
  <w:style w:type="character" w:customStyle="1" w:styleId="ObjetducommentaireCar">
    <w:name w:val="Objet du commentaire Car"/>
    <w:basedOn w:val="CommentaireCar"/>
    <w:link w:val="Objetducommentaire"/>
    <w:uiPriority w:val="99"/>
    <w:semiHidden/>
    <w:rsid w:val="00432B06"/>
    <w:rPr>
      <w:b/>
      <w:bCs/>
      <w:sz w:val="20"/>
      <w:szCs w:val="20"/>
    </w:rPr>
  </w:style>
  <w:style w:type="paragraph" w:customStyle="1" w:styleId="Paragraphedeliste1">
    <w:name w:val="Paragraphe de liste1"/>
    <w:basedOn w:val="Normal"/>
    <w:rsid w:val="00861EC5"/>
    <w:pPr>
      <w:spacing w:line="240" w:lineRule="auto"/>
      <w:ind w:left="720"/>
      <w:contextualSpacing/>
    </w:pPr>
    <w:rPr>
      <w:rFonts w:ascii="Arial" w:eastAsia="Times New Roman" w:hAnsi="Arial" w:cs="Times New Roman"/>
      <w:szCs w:val="24"/>
      <w:lang w:bidi="fr-FR"/>
    </w:rPr>
  </w:style>
  <w:style w:type="paragraph" w:styleId="NormalWeb">
    <w:name w:val="Normal (Web)"/>
    <w:basedOn w:val="Normal"/>
    <w:uiPriority w:val="99"/>
    <w:unhideWhenUsed/>
    <w:rsid w:val="00861EC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861EC5"/>
  </w:style>
  <w:style w:type="paragraph" w:customStyle="1" w:styleId="Default">
    <w:name w:val="Default"/>
    <w:rsid w:val="00F6557A"/>
    <w:pPr>
      <w:autoSpaceDE w:val="0"/>
      <w:autoSpaceDN w:val="0"/>
      <w:adjustRightInd w:val="0"/>
      <w:spacing w:line="240" w:lineRule="auto"/>
    </w:pPr>
    <w:rPr>
      <w:rFonts w:ascii="Calibri" w:hAnsi="Calibri" w:cs="Calibri"/>
      <w:color w:val="000000"/>
      <w:sz w:val="24"/>
      <w:szCs w:val="24"/>
    </w:rPr>
  </w:style>
  <w:style w:type="paragraph" w:styleId="Notedefin">
    <w:name w:val="endnote text"/>
    <w:basedOn w:val="Normal"/>
    <w:link w:val="NotedefinCar"/>
    <w:uiPriority w:val="99"/>
    <w:unhideWhenUsed/>
    <w:rsid w:val="00C01B45"/>
    <w:pPr>
      <w:spacing w:line="240" w:lineRule="auto"/>
    </w:pPr>
    <w:rPr>
      <w:sz w:val="24"/>
      <w:szCs w:val="24"/>
    </w:rPr>
  </w:style>
  <w:style w:type="character" w:customStyle="1" w:styleId="NotedefinCar">
    <w:name w:val="Note de fin Car"/>
    <w:basedOn w:val="Policepardfaut"/>
    <w:link w:val="Notedefin"/>
    <w:uiPriority w:val="99"/>
    <w:rsid w:val="00C01B45"/>
    <w:rPr>
      <w:sz w:val="24"/>
      <w:szCs w:val="24"/>
    </w:rPr>
  </w:style>
  <w:style w:type="character" w:styleId="Appeldenotedefin">
    <w:name w:val="endnote reference"/>
    <w:basedOn w:val="Policepardfaut"/>
    <w:uiPriority w:val="99"/>
    <w:unhideWhenUsed/>
    <w:rsid w:val="00C01B45"/>
    <w:rPr>
      <w:vertAlign w:val="superscript"/>
    </w:rPr>
  </w:style>
  <w:style w:type="character" w:customStyle="1" w:styleId="Titre4Car">
    <w:name w:val="Titre 4 Car"/>
    <w:basedOn w:val="Policepardfaut"/>
    <w:link w:val="Titre4"/>
    <w:uiPriority w:val="9"/>
    <w:rsid w:val="00B01171"/>
    <w:rPr>
      <w:rFonts w:ascii="Garamond" w:eastAsiaTheme="majorEastAsia" w:hAnsi="Garamond" w:cstheme="majorBidi"/>
      <w:b/>
      <w:bCs/>
      <w:i/>
      <w:iCs/>
      <w:color w:val="000000" w:themeColor="text1"/>
    </w:rPr>
  </w:style>
  <w:style w:type="character" w:customStyle="1" w:styleId="Titre5Car">
    <w:name w:val="Titre 5 Car"/>
    <w:basedOn w:val="Policepardfaut"/>
    <w:link w:val="Titre5"/>
    <w:uiPriority w:val="9"/>
    <w:rsid w:val="00715E53"/>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rsid w:val="00F20DFA"/>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rsid w:val="001A0399"/>
    <w:rPr>
      <w:rFonts w:asciiTheme="majorHAnsi" w:eastAsiaTheme="majorEastAsia" w:hAnsiTheme="majorHAnsi" w:cstheme="majorBidi"/>
      <w:i/>
      <w:iCs/>
      <w:color w:val="404040" w:themeColor="text1" w:themeTint="BF"/>
    </w:rPr>
  </w:style>
  <w:style w:type="paragraph" w:customStyle="1" w:styleId="top1">
    <w:name w:val="top1"/>
    <w:basedOn w:val="Normal"/>
    <w:rsid w:val="00DB4D70"/>
    <w:pPr>
      <w:spacing w:before="120" w:after="120" w:line="360" w:lineRule="auto"/>
      <w:jc w:val="right"/>
    </w:pPr>
    <w:rPr>
      <w:rFonts w:ascii="Times New Roman" w:eastAsia="Times New Roman" w:hAnsi="Times New Roman" w:cs="Times New Roman"/>
      <w:sz w:val="24"/>
      <w:szCs w:val="24"/>
      <w:lang w:eastAsia="fr-FR"/>
    </w:rPr>
  </w:style>
  <w:style w:type="paragraph" w:styleId="Rvision">
    <w:name w:val="Revision"/>
    <w:hidden/>
    <w:uiPriority w:val="99"/>
    <w:semiHidden/>
    <w:rsid w:val="00936237"/>
    <w:pPr>
      <w:spacing w:line="240" w:lineRule="auto"/>
    </w:pPr>
  </w:style>
  <w:style w:type="paragraph" w:styleId="Lgende">
    <w:name w:val="caption"/>
    <w:basedOn w:val="Normal"/>
    <w:next w:val="Normal"/>
    <w:uiPriority w:val="35"/>
    <w:semiHidden/>
    <w:unhideWhenUsed/>
    <w:qFormat/>
    <w:rsid w:val="007C637A"/>
    <w:pPr>
      <w:spacing w:after="200" w:line="240" w:lineRule="auto"/>
    </w:pPr>
    <w:rPr>
      <w:b/>
      <w:bCs/>
      <w:color w:val="4F81BD" w:themeColor="accent1"/>
      <w:sz w:val="18"/>
      <w:szCs w:val="18"/>
    </w:rPr>
  </w:style>
  <w:style w:type="character" w:styleId="Numrodepage">
    <w:name w:val="page number"/>
    <w:basedOn w:val="Policepardfaut"/>
    <w:uiPriority w:val="99"/>
    <w:semiHidden/>
    <w:unhideWhenUsed/>
    <w:rsid w:val="003F2E42"/>
  </w:style>
  <w:style w:type="paragraph" w:customStyle="1" w:styleId="Footnote">
    <w:name w:val="Footnote"/>
    <w:basedOn w:val="Normal"/>
    <w:rsid w:val="004D406F"/>
    <w:pPr>
      <w:autoSpaceDN w:val="0"/>
      <w:spacing w:line="240" w:lineRule="auto"/>
      <w:textAlignment w:val="baseline"/>
    </w:pPr>
    <w:rPr>
      <w:rFonts w:ascii="Calibri" w:eastAsia="Calibri" w:hAnsi="Calibri" w:cs="Times New Roman"/>
      <w:szCs w:val="20"/>
    </w:rPr>
  </w:style>
  <w:style w:type="character" w:customStyle="1" w:styleId="StrongEmphasis">
    <w:name w:val="Strong Emphasis"/>
    <w:rsid w:val="00E13C92"/>
    <w:rPr>
      <w:b/>
      <w:bCs/>
    </w:rPr>
  </w:style>
  <w:style w:type="character" w:customStyle="1" w:styleId="Listecouleur-Accent1Car1">
    <w:name w:val="Liste couleur - Accent 1 Car1"/>
    <w:link w:val="Listecouleur-Accent1"/>
    <w:uiPriority w:val="34"/>
    <w:rsid w:val="00EA350C"/>
    <w:rPr>
      <w:rFonts w:ascii="Tahoma" w:eastAsia="Lucida Sans Unicode" w:hAnsi="Tahoma" w:cs="Mangal"/>
      <w:kern w:val="1"/>
      <w:szCs w:val="24"/>
      <w:lang w:eastAsia="hi-IN" w:bidi="hi-IN"/>
    </w:rPr>
  </w:style>
  <w:style w:type="table" w:styleId="Listecouleur-Accent1">
    <w:name w:val="Colorful List Accent 1"/>
    <w:basedOn w:val="TableauNormal"/>
    <w:link w:val="Listecouleur-Accent1Car1"/>
    <w:uiPriority w:val="34"/>
    <w:rsid w:val="00EA350C"/>
    <w:pPr>
      <w:spacing w:line="240" w:lineRule="auto"/>
    </w:pPr>
    <w:rPr>
      <w:rFonts w:ascii="Tahoma" w:eastAsia="Lucida Sans Unicode" w:hAnsi="Tahoma" w:cs="Mangal"/>
      <w:kern w:val="1"/>
      <w:szCs w:val="24"/>
      <w:lang w:eastAsia="hi-IN" w:bidi="hi-IN"/>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Standard">
    <w:name w:val="Standard"/>
    <w:rsid w:val="00756F53"/>
    <w:pPr>
      <w:widowControl w:val="0"/>
      <w:suppressAutoHyphens/>
      <w:autoSpaceDN w:val="0"/>
      <w:spacing w:line="240" w:lineRule="auto"/>
      <w:textAlignment w:val="baseline"/>
    </w:pPr>
    <w:rPr>
      <w:rFonts w:ascii="Times New Roman" w:eastAsia="Lucida Sans Unicode" w:hAnsi="Times New Roman" w:cs="Mangal"/>
      <w:kern w:val="3"/>
      <w:sz w:val="24"/>
      <w:szCs w:val="24"/>
      <w:lang w:eastAsia="zh-CN" w:bidi="hi-IN"/>
    </w:rPr>
  </w:style>
  <w:style w:type="character" w:customStyle="1" w:styleId="st">
    <w:name w:val="st"/>
    <w:basedOn w:val="Policepardfaut"/>
    <w:rsid w:val="004A295B"/>
  </w:style>
  <w:style w:type="paragraph" w:customStyle="1" w:styleId="Listecouleur-Accent11">
    <w:name w:val="Liste couleur - Accent 11"/>
    <w:basedOn w:val="Normal"/>
    <w:qFormat/>
    <w:rsid w:val="00BC2E6B"/>
    <w:pPr>
      <w:widowControl w:val="0"/>
      <w:numPr>
        <w:numId w:val="19"/>
      </w:numPr>
      <w:suppressAutoHyphens/>
      <w:spacing w:after="120" w:line="300" w:lineRule="auto"/>
      <w:ind w:left="360"/>
    </w:pPr>
    <w:rPr>
      <w:rFonts w:eastAsia="Cambria" w:cs="Times New Roman"/>
      <w:b/>
      <w:kern w:val="20"/>
      <w:szCs w:val="24"/>
      <w:lang w:eastAsia="hi-IN" w:bidi="hi-IN"/>
    </w:rPr>
  </w:style>
  <w:style w:type="character" w:customStyle="1" w:styleId="Listecouleur-Accent1Car2">
    <w:name w:val="Liste couleur - Accent 1 Car2"/>
    <w:rsid w:val="000F4F13"/>
    <w:rPr>
      <w:rFonts w:ascii="Tahoma" w:eastAsia="Lucida Sans Unicode" w:hAnsi="Tahoma" w:cs="Mangal"/>
      <w:kern w:val="1"/>
      <w:szCs w:val="24"/>
      <w:lang w:val="x-none"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FEA"/>
    <w:pPr>
      <w:jc w:val="both"/>
    </w:pPr>
    <w:rPr>
      <w:rFonts w:ascii="Garamond" w:hAnsi="Garamond"/>
    </w:rPr>
  </w:style>
  <w:style w:type="paragraph" w:styleId="Titre1">
    <w:name w:val="heading 1"/>
    <w:basedOn w:val="Normal"/>
    <w:next w:val="Normal"/>
    <w:link w:val="Titre1Car"/>
    <w:uiPriority w:val="9"/>
    <w:qFormat/>
    <w:rsid w:val="00902FEA"/>
    <w:pPr>
      <w:keepNext/>
      <w:keepLines/>
      <w:spacing w:before="480"/>
      <w:outlineLvl w:val="0"/>
    </w:pPr>
    <w:rPr>
      <w:rFonts w:eastAsiaTheme="majorEastAsia" w:cstheme="majorBidi"/>
      <w:b/>
      <w:bCs/>
      <w:color w:val="CE003C"/>
      <w:sz w:val="32"/>
      <w:szCs w:val="28"/>
    </w:rPr>
  </w:style>
  <w:style w:type="paragraph" w:styleId="Titre2">
    <w:name w:val="heading 2"/>
    <w:basedOn w:val="Normal"/>
    <w:next w:val="Normal"/>
    <w:link w:val="Titre2Car"/>
    <w:uiPriority w:val="9"/>
    <w:unhideWhenUsed/>
    <w:qFormat/>
    <w:rsid w:val="00902FEA"/>
    <w:pPr>
      <w:keepNext/>
      <w:keepLines/>
      <w:numPr>
        <w:numId w:val="5"/>
      </w:numPr>
      <w:spacing w:before="200"/>
      <w:outlineLvl w:val="1"/>
    </w:pPr>
    <w:rPr>
      <w:rFonts w:eastAsiaTheme="majorEastAsia" w:cstheme="majorBidi"/>
      <w:b/>
      <w:bCs/>
      <w:color w:val="000000" w:themeColor="text1"/>
      <w:sz w:val="28"/>
      <w:szCs w:val="26"/>
    </w:rPr>
  </w:style>
  <w:style w:type="paragraph" w:styleId="Titre3">
    <w:name w:val="heading 3"/>
    <w:basedOn w:val="Normal"/>
    <w:next w:val="Normal"/>
    <w:link w:val="Titre3Car"/>
    <w:uiPriority w:val="9"/>
    <w:unhideWhenUsed/>
    <w:qFormat/>
    <w:rsid w:val="00B4396D"/>
    <w:pPr>
      <w:keepNext/>
      <w:keepLines/>
      <w:numPr>
        <w:numId w:val="6"/>
      </w:numPr>
      <w:spacing w:before="200"/>
      <w:outlineLvl w:val="2"/>
    </w:pPr>
    <w:rPr>
      <w:rFonts w:eastAsiaTheme="majorEastAsia" w:cstheme="majorBidi"/>
      <w:bCs/>
      <w:color w:val="000000" w:themeColor="text1"/>
      <w:sz w:val="24"/>
      <w:u w:val="single"/>
    </w:rPr>
  </w:style>
  <w:style w:type="paragraph" w:styleId="Titre4">
    <w:name w:val="heading 4"/>
    <w:basedOn w:val="Normal"/>
    <w:next w:val="Normal"/>
    <w:link w:val="Titre4Car"/>
    <w:uiPriority w:val="9"/>
    <w:unhideWhenUsed/>
    <w:qFormat/>
    <w:rsid w:val="00B01171"/>
    <w:pPr>
      <w:keepNext/>
      <w:keepLines/>
      <w:numPr>
        <w:numId w:val="7"/>
      </w:numPr>
      <w:spacing w:before="100"/>
      <w:outlineLvl w:val="3"/>
    </w:pPr>
    <w:rPr>
      <w:rFonts w:eastAsiaTheme="majorEastAsia" w:cstheme="majorBidi"/>
      <w:b/>
      <w:bCs/>
      <w:i/>
      <w:iCs/>
      <w:color w:val="000000" w:themeColor="text1"/>
    </w:rPr>
  </w:style>
  <w:style w:type="paragraph" w:styleId="Titre5">
    <w:name w:val="heading 5"/>
    <w:basedOn w:val="Normal"/>
    <w:next w:val="Normal"/>
    <w:link w:val="Titre5Car"/>
    <w:uiPriority w:val="9"/>
    <w:unhideWhenUsed/>
    <w:qFormat/>
    <w:rsid w:val="00715E53"/>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nhideWhenUsed/>
    <w:qFormat/>
    <w:rsid w:val="00F20DFA"/>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unhideWhenUsed/>
    <w:qFormat/>
    <w:rsid w:val="001A039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EF1B74"/>
    <w:pPr>
      <w:ind w:left="720"/>
      <w:contextualSpacing/>
    </w:pPr>
  </w:style>
  <w:style w:type="paragraph" w:styleId="Listepuces">
    <w:name w:val="List Bullet"/>
    <w:basedOn w:val="Normal"/>
    <w:uiPriority w:val="99"/>
    <w:unhideWhenUsed/>
    <w:rsid w:val="00535242"/>
    <w:pPr>
      <w:numPr>
        <w:numId w:val="1"/>
      </w:numPr>
      <w:contextualSpacing/>
    </w:pPr>
  </w:style>
  <w:style w:type="paragraph" w:styleId="Textedebulles">
    <w:name w:val="Balloon Text"/>
    <w:basedOn w:val="Normal"/>
    <w:link w:val="TextedebullesCar"/>
    <w:uiPriority w:val="99"/>
    <w:semiHidden/>
    <w:unhideWhenUsed/>
    <w:rsid w:val="009A195E"/>
    <w:pPr>
      <w:spacing w:line="240" w:lineRule="auto"/>
    </w:pPr>
    <w:rPr>
      <w:rFonts w:cs="Tahoma"/>
      <w:sz w:val="16"/>
      <w:szCs w:val="16"/>
    </w:rPr>
  </w:style>
  <w:style w:type="character" w:customStyle="1" w:styleId="TextedebullesCar">
    <w:name w:val="Texte de bulles Car"/>
    <w:basedOn w:val="Policepardfaut"/>
    <w:link w:val="Textedebulles"/>
    <w:uiPriority w:val="99"/>
    <w:semiHidden/>
    <w:rsid w:val="009A195E"/>
    <w:rPr>
      <w:rFonts w:ascii="Tahoma" w:hAnsi="Tahoma" w:cs="Tahoma"/>
      <w:sz w:val="16"/>
      <w:szCs w:val="16"/>
    </w:rPr>
  </w:style>
  <w:style w:type="paragraph" w:styleId="En-tte">
    <w:name w:val="header"/>
    <w:basedOn w:val="Normal"/>
    <w:link w:val="En-tteCar"/>
    <w:uiPriority w:val="99"/>
    <w:unhideWhenUsed/>
    <w:rsid w:val="00252BEC"/>
    <w:pPr>
      <w:tabs>
        <w:tab w:val="center" w:pos="4536"/>
        <w:tab w:val="right" w:pos="9072"/>
      </w:tabs>
      <w:spacing w:line="240" w:lineRule="auto"/>
    </w:pPr>
  </w:style>
  <w:style w:type="character" w:customStyle="1" w:styleId="En-tteCar">
    <w:name w:val="En-tête Car"/>
    <w:basedOn w:val="Policepardfaut"/>
    <w:link w:val="En-tte"/>
    <w:uiPriority w:val="99"/>
    <w:rsid w:val="00252BEC"/>
  </w:style>
  <w:style w:type="paragraph" w:styleId="Pieddepage">
    <w:name w:val="footer"/>
    <w:basedOn w:val="Normal"/>
    <w:link w:val="PieddepageCar"/>
    <w:uiPriority w:val="99"/>
    <w:unhideWhenUsed/>
    <w:rsid w:val="00252BEC"/>
    <w:pPr>
      <w:tabs>
        <w:tab w:val="center" w:pos="4536"/>
        <w:tab w:val="right" w:pos="9072"/>
      </w:tabs>
      <w:spacing w:line="240" w:lineRule="auto"/>
    </w:pPr>
  </w:style>
  <w:style w:type="character" w:customStyle="1" w:styleId="PieddepageCar">
    <w:name w:val="Pied de page Car"/>
    <w:basedOn w:val="Policepardfaut"/>
    <w:link w:val="Pieddepage"/>
    <w:uiPriority w:val="99"/>
    <w:rsid w:val="00252BEC"/>
  </w:style>
  <w:style w:type="character" w:customStyle="1" w:styleId="Titre1Car">
    <w:name w:val="Titre 1 Car"/>
    <w:basedOn w:val="Policepardfaut"/>
    <w:link w:val="Titre1"/>
    <w:uiPriority w:val="9"/>
    <w:rsid w:val="00902FEA"/>
    <w:rPr>
      <w:rFonts w:ascii="Garamond" w:eastAsiaTheme="majorEastAsia" w:hAnsi="Garamond" w:cstheme="majorBidi"/>
      <w:b/>
      <w:bCs/>
      <w:color w:val="CE003C"/>
      <w:sz w:val="32"/>
      <w:szCs w:val="28"/>
    </w:rPr>
  </w:style>
  <w:style w:type="table" w:styleId="Grilledutableau">
    <w:name w:val="Table Grid"/>
    <w:basedOn w:val="TableauNormal"/>
    <w:uiPriority w:val="59"/>
    <w:rsid w:val="003D12B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3Car">
    <w:name w:val="Titre 3 Car"/>
    <w:basedOn w:val="Policepardfaut"/>
    <w:link w:val="Titre3"/>
    <w:uiPriority w:val="9"/>
    <w:rsid w:val="00B4396D"/>
    <w:rPr>
      <w:rFonts w:ascii="Garamond" w:eastAsiaTheme="majorEastAsia" w:hAnsi="Garamond" w:cstheme="majorBidi"/>
      <w:bCs/>
      <w:color w:val="000000" w:themeColor="text1"/>
      <w:sz w:val="24"/>
      <w:u w:val="single"/>
    </w:rPr>
  </w:style>
  <w:style w:type="paragraph" w:styleId="Corpsdetexte">
    <w:name w:val="Body Text"/>
    <w:aliases w:val="heading_txt,bodytxy2,bt,Body,OC Body Text,heading3,Body Text - Level 2,1body,BodText,body text,Body Txt,My Body Text,co"/>
    <w:basedOn w:val="Normal"/>
    <w:link w:val="CorpsdetexteCar"/>
    <w:rsid w:val="00792CD7"/>
    <w:pPr>
      <w:spacing w:line="240" w:lineRule="auto"/>
    </w:pPr>
    <w:rPr>
      <w:rFonts w:ascii="Times" w:eastAsia="Times" w:hAnsi="Times" w:cs="Times New Roman"/>
      <w:i/>
      <w:sz w:val="24"/>
      <w:szCs w:val="20"/>
      <w:lang w:eastAsia="fr-FR"/>
    </w:rPr>
  </w:style>
  <w:style w:type="character" w:customStyle="1" w:styleId="CorpsdetexteCar">
    <w:name w:val="Corps de texte Car"/>
    <w:aliases w:val="heading_txt Car,bodytxy2 Car,bt Car,Body Car,OC Body Text Car,heading3 Car,Body Text - Level 2 Car,1body Car,BodText Car,body text Car,Body Txt Car,My Body Text Car,co Car"/>
    <w:basedOn w:val="Policepardfaut"/>
    <w:link w:val="Corpsdetexte"/>
    <w:rsid w:val="00792CD7"/>
    <w:rPr>
      <w:rFonts w:ascii="Times" w:eastAsia="Times" w:hAnsi="Times" w:cs="Times New Roman"/>
      <w:i/>
      <w:sz w:val="24"/>
      <w:szCs w:val="20"/>
      <w:lang w:eastAsia="fr-FR"/>
    </w:rPr>
  </w:style>
  <w:style w:type="paragraph" w:styleId="En-ttedetabledesmatires">
    <w:name w:val="TOC Heading"/>
    <w:basedOn w:val="Titre1"/>
    <w:next w:val="Normal"/>
    <w:uiPriority w:val="39"/>
    <w:unhideWhenUsed/>
    <w:qFormat/>
    <w:rsid w:val="00F00B0A"/>
    <w:pPr>
      <w:outlineLvl w:val="9"/>
    </w:pPr>
    <w:rPr>
      <w:lang w:eastAsia="fr-FR"/>
    </w:rPr>
  </w:style>
  <w:style w:type="paragraph" w:customStyle="1" w:styleId="Style1">
    <w:name w:val="Style1"/>
    <w:basedOn w:val="Paragraphedeliste"/>
    <w:link w:val="Style1Car"/>
    <w:qFormat/>
    <w:rsid w:val="00F00B0A"/>
    <w:pPr>
      <w:ind w:left="360"/>
    </w:pPr>
    <w:rPr>
      <w:rFonts w:ascii="Arial" w:hAnsi="Arial" w:cs="Arial"/>
      <w:b/>
      <w:szCs w:val="20"/>
      <w:u w:val="single"/>
    </w:rPr>
  </w:style>
  <w:style w:type="character" w:customStyle="1" w:styleId="Titre2Car">
    <w:name w:val="Titre 2 Car"/>
    <w:basedOn w:val="Policepardfaut"/>
    <w:link w:val="Titre2"/>
    <w:uiPriority w:val="9"/>
    <w:rsid w:val="00902FEA"/>
    <w:rPr>
      <w:rFonts w:ascii="Garamond" w:eastAsiaTheme="majorEastAsia" w:hAnsi="Garamond" w:cstheme="majorBidi"/>
      <w:b/>
      <w:bCs/>
      <w:color w:val="000000" w:themeColor="text1"/>
      <w:sz w:val="28"/>
      <w:szCs w:val="26"/>
    </w:rPr>
  </w:style>
  <w:style w:type="character" w:customStyle="1" w:styleId="ParagraphedelisteCar">
    <w:name w:val="Paragraphe de liste Car"/>
    <w:basedOn w:val="Policepardfaut"/>
    <w:link w:val="Paragraphedeliste"/>
    <w:uiPriority w:val="34"/>
    <w:rsid w:val="00F00B0A"/>
  </w:style>
  <w:style w:type="character" w:customStyle="1" w:styleId="Style1Car">
    <w:name w:val="Style1 Car"/>
    <w:basedOn w:val="ParagraphedelisteCar"/>
    <w:link w:val="Style1"/>
    <w:rsid w:val="00F00B0A"/>
    <w:rPr>
      <w:rFonts w:ascii="Arial" w:hAnsi="Arial" w:cs="Arial"/>
      <w:b/>
      <w:sz w:val="20"/>
      <w:szCs w:val="20"/>
      <w:u w:val="single"/>
    </w:rPr>
  </w:style>
  <w:style w:type="paragraph" w:styleId="TM1">
    <w:name w:val="toc 1"/>
    <w:basedOn w:val="Normal"/>
    <w:next w:val="Normal"/>
    <w:autoRedefine/>
    <w:uiPriority w:val="39"/>
    <w:unhideWhenUsed/>
    <w:qFormat/>
    <w:rsid w:val="00D57224"/>
    <w:pPr>
      <w:tabs>
        <w:tab w:val="left" w:pos="660"/>
        <w:tab w:val="right" w:leader="dot" w:pos="9062"/>
      </w:tabs>
      <w:spacing w:before="120"/>
    </w:pPr>
    <w:rPr>
      <w:rFonts w:ascii="Arial" w:hAnsi="Arial" w:cs="Tahoma"/>
      <w:b/>
      <w:noProof/>
      <w:color w:val="CE003C"/>
    </w:rPr>
  </w:style>
  <w:style w:type="character" w:styleId="Lienhypertexte">
    <w:name w:val="Hyperlink"/>
    <w:basedOn w:val="Policepardfaut"/>
    <w:uiPriority w:val="99"/>
    <w:unhideWhenUsed/>
    <w:rsid w:val="00F00B0A"/>
    <w:rPr>
      <w:color w:val="0000FF" w:themeColor="hyperlink"/>
      <w:u w:val="single"/>
    </w:rPr>
  </w:style>
  <w:style w:type="paragraph" w:styleId="TM2">
    <w:name w:val="toc 2"/>
    <w:basedOn w:val="Normal"/>
    <w:next w:val="Normal"/>
    <w:autoRedefine/>
    <w:uiPriority w:val="39"/>
    <w:unhideWhenUsed/>
    <w:qFormat/>
    <w:rsid w:val="00D57224"/>
    <w:pPr>
      <w:tabs>
        <w:tab w:val="left" w:pos="660"/>
        <w:tab w:val="right" w:leader="dot" w:pos="9628"/>
      </w:tabs>
      <w:ind w:left="220"/>
    </w:pPr>
    <w:rPr>
      <w:rFonts w:cs="Tahoma"/>
      <w:b/>
      <w:noProof/>
    </w:rPr>
  </w:style>
  <w:style w:type="paragraph" w:styleId="TM3">
    <w:name w:val="toc 3"/>
    <w:basedOn w:val="Normal"/>
    <w:next w:val="Normal"/>
    <w:autoRedefine/>
    <w:uiPriority w:val="39"/>
    <w:unhideWhenUsed/>
    <w:qFormat/>
    <w:rsid w:val="00C41F53"/>
    <w:pPr>
      <w:ind w:left="440"/>
    </w:pPr>
  </w:style>
  <w:style w:type="paragraph" w:styleId="TM4">
    <w:name w:val="toc 4"/>
    <w:basedOn w:val="Normal"/>
    <w:next w:val="Normal"/>
    <w:autoRedefine/>
    <w:uiPriority w:val="39"/>
    <w:unhideWhenUsed/>
    <w:rsid w:val="003B1868"/>
    <w:pPr>
      <w:ind w:left="660"/>
    </w:pPr>
    <w:rPr>
      <w:szCs w:val="20"/>
    </w:rPr>
  </w:style>
  <w:style w:type="paragraph" w:styleId="TM5">
    <w:name w:val="toc 5"/>
    <w:basedOn w:val="Normal"/>
    <w:next w:val="Normal"/>
    <w:autoRedefine/>
    <w:uiPriority w:val="39"/>
    <w:unhideWhenUsed/>
    <w:rsid w:val="003B1868"/>
    <w:pPr>
      <w:ind w:left="880"/>
    </w:pPr>
    <w:rPr>
      <w:szCs w:val="20"/>
    </w:rPr>
  </w:style>
  <w:style w:type="paragraph" w:styleId="TM6">
    <w:name w:val="toc 6"/>
    <w:basedOn w:val="Normal"/>
    <w:next w:val="Normal"/>
    <w:autoRedefine/>
    <w:uiPriority w:val="39"/>
    <w:unhideWhenUsed/>
    <w:rsid w:val="003B1868"/>
    <w:pPr>
      <w:ind w:left="1100"/>
    </w:pPr>
    <w:rPr>
      <w:szCs w:val="20"/>
    </w:rPr>
  </w:style>
  <w:style w:type="paragraph" w:styleId="TM7">
    <w:name w:val="toc 7"/>
    <w:basedOn w:val="Normal"/>
    <w:next w:val="Normal"/>
    <w:autoRedefine/>
    <w:uiPriority w:val="39"/>
    <w:unhideWhenUsed/>
    <w:rsid w:val="003B1868"/>
    <w:pPr>
      <w:ind w:left="1320"/>
    </w:pPr>
    <w:rPr>
      <w:szCs w:val="20"/>
    </w:rPr>
  </w:style>
  <w:style w:type="paragraph" w:styleId="TM8">
    <w:name w:val="toc 8"/>
    <w:basedOn w:val="Normal"/>
    <w:next w:val="Normal"/>
    <w:autoRedefine/>
    <w:uiPriority w:val="39"/>
    <w:unhideWhenUsed/>
    <w:rsid w:val="003B1868"/>
    <w:pPr>
      <w:ind w:left="1540"/>
    </w:pPr>
    <w:rPr>
      <w:szCs w:val="20"/>
    </w:rPr>
  </w:style>
  <w:style w:type="paragraph" w:styleId="TM9">
    <w:name w:val="toc 9"/>
    <w:basedOn w:val="Normal"/>
    <w:next w:val="Normal"/>
    <w:autoRedefine/>
    <w:uiPriority w:val="39"/>
    <w:unhideWhenUsed/>
    <w:rsid w:val="003B1868"/>
    <w:pPr>
      <w:ind w:left="1760"/>
    </w:pPr>
    <w:rPr>
      <w:szCs w:val="20"/>
    </w:rPr>
  </w:style>
  <w:style w:type="character" w:styleId="Marquedecommentaire">
    <w:name w:val="annotation reference"/>
    <w:basedOn w:val="Policepardfaut"/>
    <w:uiPriority w:val="99"/>
    <w:unhideWhenUsed/>
    <w:rsid w:val="00AA35B5"/>
    <w:rPr>
      <w:sz w:val="16"/>
      <w:szCs w:val="16"/>
    </w:rPr>
  </w:style>
  <w:style w:type="paragraph" w:styleId="Commentaire">
    <w:name w:val="annotation text"/>
    <w:basedOn w:val="Normal"/>
    <w:link w:val="CommentaireCar"/>
    <w:uiPriority w:val="99"/>
    <w:semiHidden/>
    <w:unhideWhenUsed/>
    <w:rsid w:val="00AA35B5"/>
    <w:pPr>
      <w:spacing w:after="200" w:line="240" w:lineRule="auto"/>
    </w:pPr>
    <w:rPr>
      <w:szCs w:val="20"/>
    </w:rPr>
  </w:style>
  <w:style w:type="character" w:customStyle="1" w:styleId="CommentaireCar">
    <w:name w:val="Commentaire Car"/>
    <w:basedOn w:val="Policepardfaut"/>
    <w:link w:val="Commentaire"/>
    <w:uiPriority w:val="99"/>
    <w:semiHidden/>
    <w:rsid w:val="00AA35B5"/>
    <w:rPr>
      <w:sz w:val="20"/>
      <w:szCs w:val="20"/>
    </w:rPr>
  </w:style>
  <w:style w:type="paragraph" w:styleId="Notedebasdepage">
    <w:name w:val="footnote text"/>
    <w:basedOn w:val="Normal"/>
    <w:link w:val="NotedebasdepageCar"/>
    <w:uiPriority w:val="99"/>
    <w:unhideWhenUsed/>
    <w:rsid w:val="00AA35B5"/>
    <w:pPr>
      <w:spacing w:line="240" w:lineRule="auto"/>
    </w:pPr>
    <w:rPr>
      <w:sz w:val="24"/>
      <w:szCs w:val="24"/>
    </w:rPr>
  </w:style>
  <w:style w:type="character" w:customStyle="1" w:styleId="NotedebasdepageCar">
    <w:name w:val="Note de bas de page Car"/>
    <w:basedOn w:val="Policepardfaut"/>
    <w:link w:val="Notedebasdepage"/>
    <w:uiPriority w:val="99"/>
    <w:rsid w:val="00AA35B5"/>
    <w:rPr>
      <w:sz w:val="24"/>
      <w:szCs w:val="24"/>
    </w:rPr>
  </w:style>
  <w:style w:type="character" w:styleId="Appelnotedebasdep">
    <w:name w:val="footnote reference"/>
    <w:basedOn w:val="Policepardfaut"/>
    <w:uiPriority w:val="99"/>
    <w:unhideWhenUsed/>
    <w:rsid w:val="00AA35B5"/>
    <w:rPr>
      <w:vertAlign w:val="superscript"/>
    </w:rPr>
  </w:style>
  <w:style w:type="paragraph" w:styleId="Objetducommentaire">
    <w:name w:val="annotation subject"/>
    <w:basedOn w:val="Commentaire"/>
    <w:next w:val="Commentaire"/>
    <w:link w:val="ObjetducommentaireCar"/>
    <w:uiPriority w:val="99"/>
    <w:semiHidden/>
    <w:unhideWhenUsed/>
    <w:rsid w:val="00432B06"/>
    <w:pPr>
      <w:spacing w:after="0"/>
    </w:pPr>
    <w:rPr>
      <w:b/>
      <w:bCs/>
    </w:rPr>
  </w:style>
  <w:style w:type="character" w:customStyle="1" w:styleId="ObjetducommentaireCar">
    <w:name w:val="Objet du commentaire Car"/>
    <w:basedOn w:val="CommentaireCar"/>
    <w:link w:val="Objetducommentaire"/>
    <w:uiPriority w:val="99"/>
    <w:semiHidden/>
    <w:rsid w:val="00432B06"/>
    <w:rPr>
      <w:b/>
      <w:bCs/>
      <w:sz w:val="20"/>
      <w:szCs w:val="20"/>
    </w:rPr>
  </w:style>
  <w:style w:type="paragraph" w:customStyle="1" w:styleId="Paragraphedeliste1">
    <w:name w:val="Paragraphe de liste1"/>
    <w:basedOn w:val="Normal"/>
    <w:rsid w:val="00861EC5"/>
    <w:pPr>
      <w:spacing w:line="240" w:lineRule="auto"/>
      <w:ind w:left="720"/>
      <w:contextualSpacing/>
    </w:pPr>
    <w:rPr>
      <w:rFonts w:ascii="Arial" w:eastAsia="Times New Roman" w:hAnsi="Arial" w:cs="Times New Roman"/>
      <w:szCs w:val="24"/>
      <w:lang w:bidi="fr-FR"/>
    </w:rPr>
  </w:style>
  <w:style w:type="paragraph" w:styleId="NormalWeb">
    <w:name w:val="Normal (Web)"/>
    <w:basedOn w:val="Normal"/>
    <w:uiPriority w:val="99"/>
    <w:unhideWhenUsed/>
    <w:rsid w:val="00861EC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861EC5"/>
  </w:style>
  <w:style w:type="paragraph" w:customStyle="1" w:styleId="Default">
    <w:name w:val="Default"/>
    <w:rsid w:val="00F6557A"/>
    <w:pPr>
      <w:autoSpaceDE w:val="0"/>
      <w:autoSpaceDN w:val="0"/>
      <w:adjustRightInd w:val="0"/>
      <w:spacing w:line="240" w:lineRule="auto"/>
    </w:pPr>
    <w:rPr>
      <w:rFonts w:ascii="Calibri" w:hAnsi="Calibri" w:cs="Calibri"/>
      <w:color w:val="000000"/>
      <w:sz w:val="24"/>
      <w:szCs w:val="24"/>
    </w:rPr>
  </w:style>
  <w:style w:type="paragraph" w:styleId="Notedefin">
    <w:name w:val="endnote text"/>
    <w:basedOn w:val="Normal"/>
    <w:link w:val="NotedefinCar"/>
    <w:uiPriority w:val="99"/>
    <w:unhideWhenUsed/>
    <w:rsid w:val="00C01B45"/>
    <w:pPr>
      <w:spacing w:line="240" w:lineRule="auto"/>
    </w:pPr>
    <w:rPr>
      <w:sz w:val="24"/>
      <w:szCs w:val="24"/>
    </w:rPr>
  </w:style>
  <w:style w:type="character" w:customStyle="1" w:styleId="NotedefinCar">
    <w:name w:val="Note de fin Car"/>
    <w:basedOn w:val="Policepardfaut"/>
    <w:link w:val="Notedefin"/>
    <w:uiPriority w:val="99"/>
    <w:rsid w:val="00C01B45"/>
    <w:rPr>
      <w:sz w:val="24"/>
      <w:szCs w:val="24"/>
    </w:rPr>
  </w:style>
  <w:style w:type="character" w:styleId="Appeldenotedefin">
    <w:name w:val="endnote reference"/>
    <w:basedOn w:val="Policepardfaut"/>
    <w:uiPriority w:val="99"/>
    <w:unhideWhenUsed/>
    <w:rsid w:val="00C01B45"/>
    <w:rPr>
      <w:vertAlign w:val="superscript"/>
    </w:rPr>
  </w:style>
  <w:style w:type="character" w:customStyle="1" w:styleId="Titre4Car">
    <w:name w:val="Titre 4 Car"/>
    <w:basedOn w:val="Policepardfaut"/>
    <w:link w:val="Titre4"/>
    <w:uiPriority w:val="9"/>
    <w:rsid w:val="00B01171"/>
    <w:rPr>
      <w:rFonts w:ascii="Garamond" w:eastAsiaTheme="majorEastAsia" w:hAnsi="Garamond" w:cstheme="majorBidi"/>
      <w:b/>
      <w:bCs/>
      <w:i/>
      <w:iCs/>
      <w:color w:val="000000" w:themeColor="text1"/>
    </w:rPr>
  </w:style>
  <w:style w:type="character" w:customStyle="1" w:styleId="Titre5Car">
    <w:name w:val="Titre 5 Car"/>
    <w:basedOn w:val="Policepardfaut"/>
    <w:link w:val="Titre5"/>
    <w:uiPriority w:val="9"/>
    <w:rsid w:val="00715E53"/>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rsid w:val="00F20DFA"/>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rsid w:val="001A0399"/>
    <w:rPr>
      <w:rFonts w:asciiTheme="majorHAnsi" w:eastAsiaTheme="majorEastAsia" w:hAnsiTheme="majorHAnsi" w:cstheme="majorBidi"/>
      <w:i/>
      <w:iCs/>
      <w:color w:val="404040" w:themeColor="text1" w:themeTint="BF"/>
    </w:rPr>
  </w:style>
  <w:style w:type="paragraph" w:customStyle="1" w:styleId="top1">
    <w:name w:val="top1"/>
    <w:basedOn w:val="Normal"/>
    <w:rsid w:val="00DB4D70"/>
    <w:pPr>
      <w:spacing w:before="120" w:after="120" w:line="360" w:lineRule="auto"/>
      <w:jc w:val="right"/>
    </w:pPr>
    <w:rPr>
      <w:rFonts w:ascii="Times New Roman" w:eastAsia="Times New Roman" w:hAnsi="Times New Roman" w:cs="Times New Roman"/>
      <w:sz w:val="24"/>
      <w:szCs w:val="24"/>
      <w:lang w:eastAsia="fr-FR"/>
    </w:rPr>
  </w:style>
  <w:style w:type="paragraph" w:styleId="Rvision">
    <w:name w:val="Revision"/>
    <w:hidden/>
    <w:uiPriority w:val="99"/>
    <w:semiHidden/>
    <w:rsid w:val="00936237"/>
    <w:pPr>
      <w:spacing w:line="240" w:lineRule="auto"/>
    </w:pPr>
  </w:style>
  <w:style w:type="paragraph" w:styleId="Lgende">
    <w:name w:val="caption"/>
    <w:basedOn w:val="Normal"/>
    <w:next w:val="Normal"/>
    <w:uiPriority w:val="35"/>
    <w:semiHidden/>
    <w:unhideWhenUsed/>
    <w:qFormat/>
    <w:rsid w:val="007C637A"/>
    <w:pPr>
      <w:spacing w:after="200" w:line="240" w:lineRule="auto"/>
    </w:pPr>
    <w:rPr>
      <w:b/>
      <w:bCs/>
      <w:color w:val="4F81BD" w:themeColor="accent1"/>
      <w:sz w:val="18"/>
      <w:szCs w:val="18"/>
    </w:rPr>
  </w:style>
  <w:style w:type="character" w:styleId="Numrodepage">
    <w:name w:val="page number"/>
    <w:basedOn w:val="Policepardfaut"/>
    <w:uiPriority w:val="99"/>
    <w:semiHidden/>
    <w:unhideWhenUsed/>
    <w:rsid w:val="003F2E42"/>
  </w:style>
  <w:style w:type="paragraph" w:customStyle="1" w:styleId="Footnote">
    <w:name w:val="Footnote"/>
    <w:basedOn w:val="Normal"/>
    <w:rsid w:val="004D406F"/>
    <w:pPr>
      <w:autoSpaceDN w:val="0"/>
      <w:spacing w:line="240" w:lineRule="auto"/>
      <w:textAlignment w:val="baseline"/>
    </w:pPr>
    <w:rPr>
      <w:rFonts w:ascii="Calibri" w:eastAsia="Calibri" w:hAnsi="Calibri" w:cs="Times New Roman"/>
      <w:szCs w:val="20"/>
    </w:rPr>
  </w:style>
  <w:style w:type="character" w:customStyle="1" w:styleId="StrongEmphasis">
    <w:name w:val="Strong Emphasis"/>
    <w:rsid w:val="00E13C92"/>
    <w:rPr>
      <w:b/>
      <w:bCs/>
    </w:rPr>
  </w:style>
  <w:style w:type="character" w:customStyle="1" w:styleId="Listecouleur-Accent1Car1">
    <w:name w:val="Liste couleur - Accent 1 Car1"/>
    <w:link w:val="Listecouleur-Accent1"/>
    <w:uiPriority w:val="34"/>
    <w:rsid w:val="00EA350C"/>
    <w:rPr>
      <w:rFonts w:ascii="Tahoma" w:eastAsia="Lucida Sans Unicode" w:hAnsi="Tahoma" w:cs="Mangal"/>
      <w:kern w:val="1"/>
      <w:szCs w:val="24"/>
      <w:lang w:eastAsia="hi-IN" w:bidi="hi-IN"/>
    </w:rPr>
  </w:style>
  <w:style w:type="table" w:styleId="Listecouleur-Accent1">
    <w:name w:val="Colorful List Accent 1"/>
    <w:basedOn w:val="TableauNormal"/>
    <w:link w:val="Listecouleur-Accent1Car1"/>
    <w:uiPriority w:val="34"/>
    <w:rsid w:val="00EA350C"/>
    <w:pPr>
      <w:spacing w:line="240" w:lineRule="auto"/>
    </w:pPr>
    <w:rPr>
      <w:rFonts w:ascii="Tahoma" w:eastAsia="Lucida Sans Unicode" w:hAnsi="Tahoma" w:cs="Mangal"/>
      <w:kern w:val="1"/>
      <w:szCs w:val="24"/>
      <w:lang w:eastAsia="hi-IN" w:bidi="hi-IN"/>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Standard">
    <w:name w:val="Standard"/>
    <w:rsid w:val="00756F53"/>
    <w:pPr>
      <w:widowControl w:val="0"/>
      <w:suppressAutoHyphens/>
      <w:autoSpaceDN w:val="0"/>
      <w:spacing w:line="240" w:lineRule="auto"/>
      <w:textAlignment w:val="baseline"/>
    </w:pPr>
    <w:rPr>
      <w:rFonts w:ascii="Times New Roman" w:eastAsia="Lucida Sans Unicode" w:hAnsi="Times New Roman" w:cs="Mangal"/>
      <w:kern w:val="3"/>
      <w:sz w:val="24"/>
      <w:szCs w:val="24"/>
      <w:lang w:eastAsia="zh-CN" w:bidi="hi-IN"/>
    </w:rPr>
  </w:style>
  <w:style w:type="character" w:customStyle="1" w:styleId="st">
    <w:name w:val="st"/>
    <w:basedOn w:val="Policepardfaut"/>
    <w:rsid w:val="004A295B"/>
  </w:style>
  <w:style w:type="paragraph" w:customStyle="1" w:styleId="Listecouleur-Accent11">
    <w:name w:val="Liste couleur - Accent 11"/>
    <w:basedOn w:val="Normal"/>
    <w:qFormat/>
    <w:rsid w:val="00BC2E6B"/>
    <w:pPr>
      <w:widowControl w:val="0"/>
      <w:numPr>
        <w:numId w:val="19"/>
      </w:numPr>
      <w:suppressAutoHyphens/>
      <w:spacing w:after="120" w:line="300" w:lineRule="auto"/>
      <w:ind w:left="360"/>
    </w:pPr>
    <w:rPr>
      <w:rFonts w:eastAsia="Cambria" w:cs="Times New Roman"/>
      <w:b/>
      <w:kern w:val="20"/>
      <w:szCs w:val="24"/>
      <w:lang w:eastAsia="hi-IN" w:bidi="hi-IN"/>
    </w:rPr>
  </w:style>
  <w:style w:type="character" w:customStyle="1" w:styleId="Listecouleur-Accent1Car2">
    <w:name w:val="Liste couleur - Accent 1 Car2"/>
    <w:rsid w:val="000F4F13"/>
    <w:rPr>
      <w:rFonts w:ascii="Tahoma" w:eastAsia="Lucida Sans Unicode" w:hAnsi="Tahoma" w:cs="Mangal"/>
      <w:kern w:val="1"/>
      <w:szCs w:val="24"/>
      <w:lang w:val="x-none"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3633">
      <w:bodyDiv w:val="1"/>
      <w:marLeft w:val="0"/>
      <w:marRight w:val="0"/>
      <w:marTop w:val="0"/>
      <w:marBottom w:val="0"/>
      <w:divBdr>
        <w:top w:val="none" w:sz="0" w:space="0" w:color="auto"/>
        <w:left w:val="none" w:sz="0" w:space="0" w:color="auto"/>
        <w:bottom w:val="none" w:sz="0" w:space="0" w:color="auto"/>
        <w:right w:val="none" w:sz="0" w:space="0" w:color="auto"/>
      </w:divBdr>
    </w:div>
    <w:div w:id="10492251">
      <w:bodyDiv w:val="1"/>
      <w:marLeft w:val="0"/>
      <w:marRight w:val="0"/>
      <w:marTop w:val="0"/>
      <w:marBottom w:val="0"/>
      <w:divBdr>
        <w:top w:val="none" w:sz="0" w:space="0" w:color="auto"/>
        <w:left w:val="none" w:sz="0" w:space="0" w:color="auto"/>
        <w:bottom w:val="none" w:sz="0" w:space="0" w:color="auto"/>
        <w:right w:val="none" w:sz="0" w:space="0" w:color="auto"/>
      </w:divBdr>
    </w:div>
    <w:div w:id="28726174">
      <w:bodyDiv w:val="1"/>
      <w:marLeft w:val="0"/>
      <w:marRight w:val="0"/>
      <w:marTop w:val="0"/>
      <w:marBottom w:val="0"/>
      <w:divBdr>
        <w:top w:val="none" w:sz="0" w:space="0" w:color="auto"/>
        <w:left w:val="none" w:sz="0" w:space="0" w:color="auto"/>
        <w:bottom w:val="none" w:sz="0" w:space="0" w:color="auto"/>
        <w:right w:val="none" w:sz="0" w:space="0" w:color="auto"/>
      </w:divBdr>
    </w:div>
    <w:div w:id="30109485">
      <w:bodyDiv w:val="1"/>
      <w:marLeft w:val="0"/>
      <w:marRight w:val="0"/>
      <w:marTop w:val="0"/>
      <w:marBottom w:val="0"/>
      <w:divBdr>
        <w:top w:val="none" w:sz="0" w:space="0" w:color="auto"/>
        <w:left w:val="none" w:sz="0" w:space="0" w:color="auto"/>
        <w:bottom w:val="none" w:sz="0" w:space="0" w:color="auto"/>
        <w:right w:val="none" w:sz="0" w:space="0" w:color="auto"/>
      </w:divBdr>
    </w:div>
    <w:div w:id="31154951">
      <w:bodyDiv w:val="1"/>
      <w:marLeft w:val="0"/>
      <w:marRight w:val="0"/>
      <w:marTop w:val="0"/>
      <w:marBottom w:val="0"/>
      <w:divBdr>
        <w:top w:val="none" w:sz="0" w:space="0" w:color="auto"/>
        <w:left w:val="none" w:sz="0" w:space="0" w:color="auto"/>
        <w:bottom w:val="none" w:sz="0" w:space="0" w:color="auto"/>
        <w:right w:val="none" w:sz="0" w:space="0" w:color="auto"/>
      </w:divBdr>
    </w:div>
    <w:div w:id="41951949">
      <w:bodyDiv w:val="1"/>
      <w:marLeft w:val="0"/>
      <w:marRight w:val="0"/>
      <w:marTop w:val="0"/>
      <w:marBottom w:val="0"/>
      <w:divBdr>
        <w:top w:val="none" w:sz="0" w:space="0" w:color="auto"/>
        <w:left w:val="none" w:sz="0" w:space="0" w:color="auto"/>
        <w:bottom w:val="none" w:sz="0" w:space="0" w:color="auto"/>
        <w:right w:val="none" w:sz="0" w:space="0" w:color="auto"/>
      </w:divBdr>
    </w:div>
    <w:div w:id="51006499">
      <w:bodyDiv w:val="1"/>
      <w:marLeft w:val="0"/>
      <w:marRight w:val="0"/>
      <w:marTop w:val="0"/>
      <w:marBottom w:val="0"/>
      <w:divBdr>
        <w:top w:val="none" w:sz="0" w:space="0" w:color="auto"/>
        <w:left w:val="none" w:sz="0" w:space="0" w:color="auto"/>
        <w:bottom w:val="none" w:sz="0" w:space="0" w:color="auto"/>
        <w:right w:val="none" w:sz="0" w:space="0" w:color="auto"/>
      </w:divBdr>
    </w:div>
    <w:div w:id="52890617">
      <w:bodyDiv w:val="1"/>
      <w:marLeft w:val="0"/>
      <w:marRight w:val="0"/>
      <w:marTop w:val="0"/>
      <w:marBottom w:val="0"/>
      <w:divBdr>
        <w:top w:val="none" w:sz="0" w:space="0" w:color="auto"/>
        <w:left w:val="none" w:sz="0" w:space="0" w:color="auto"/>
        <w:bottom w:val="none" w:sz="0" w:space="0" w:color="auto"/>
        <w:right w:val="none" w:sz="0" w:space="0" w:color="auto"/>
      </w:divBdr>
    </w:div>
    <w:div w:id="59250796">
      <w:bodyDiv w:val="1"/>
      <w:marLeft w:val="0"/>
      <w:marRight w:val="0"/>
      <w:marTop w:val="0"/>
      <w:marBottom w:val="0"/>
      <w:divBdr>
        <w:top w:val="none" w:sz="0" w:space="0" w:color="auto"/>
        <w:left w:val="none" w:sz="0" w:space="0" w:color="auto"/>
        <w:bottom w:val="none" w:sz="0" w:space="0" w:color="auto"/>
        <w:right w:val="none" w:sz="0" w:space="0" w:color="auto"/>
      </w:divBdr>
    </w:div>
    <w:div w:id="64425179">
      <w:bodyDiv w:val="1"/>
      <w:marLeft w:val="0"/>
      <w:marRight w:val="0"/>
      <w:marTop w:val="0"/>
      <w:marBottom w:val="0"/>
      <w:divBdr>
        <w:top w:val="none" w:sz="0" w:space="0" w:color="auto"/>
        <w:left w:val="none" w:sz="0" w:space="0" w:color="auto"/>
        <w:bottom w:val="none" w:sz="0" w:space="0" w:color="auto"/>
        <w:right w:val="none" w:sz="0" w:space="0" w:color="auto"/>
      </w:divBdr>
    </w:div>
    <w:div w:id="68698934">
      <w:bodyDiv w:val="1"/>
      <w:marLeft w:val="0"/>
      <w:marRight w:val="0"/>
      <w:marTop w:val="0"/>
      <w:marBottom w:val="0"/>
      <w:divBdr>
        <w:top w:val="none" w:sz="0" w:space="0" w:color="auto"/>
        <w:left w:val="none" w:sz="0" w:space="0" w:color="auto"/>
        <w:bottom w:val="none" w:sz="0" w:space="0" w:color="auto"/>
        <w:right w:val="none" w:sz="0" w:space="0" w:color="auto"/>
      </w:divBdr>
    </w:div>
    <w:div w:id="69928400">
      <w:bodyDiv w:val="1"/>
      <w:marLeft w:val="0"/>
      <w:marRight w:val="0"/>
      <w:marTop w:val="0"/>
      <w:marBottom w:val="0"/>
      <w:divBdr>
        <w:top w:val="none" w:sz="0" w:space="0" w:color="auto"/>
        <w:left w:val="none" w:sz="0" w:space="0" w:color="auto"/>
        <w:bottom w:val="none" w:sz="0" w:space="0" w:color="auto"/>
        <w:right w:val="none" w:sz="0" w:space="0" w:color="auto"/>
      </w:divBdr>
    </w:div>
    <w:div w:id="84542598">
      <w:bodyDiv w:val="1"/>
      <w:marLeft w:val="0"/>
      <w:marRight w:val="0"/>
      <w:marTop w:val="0"/>
      <w:marBottom w:val="0"/>
      <w:divBdr>
        <w:top w:val="none" w:sz="0" w:space="0" w:color="auto"/>
        <w:left w:val="none" w:sz="0" w:space="0" w:color="auto"/>
        <w:bottom w:val="none" w:sz="0" w:space="0" w:color="auto"/>
        <w:right w:val="none" w:sz="0" w:space="0" w:color="auto"/>
      </w:divBdr>
    </w:div>
    <w:div w:id="84612812">
      <w:bodyDiv w:val="1"/>
      <w:marLeft w:val="0"/>
      <w:marRight w:val="0"/>
      <w:marTop w:val="0"/>
      <w:marBottom w:val="0"/>
      <w:divBdr>
        <w:top w:val="none" w:sz="0" w:space="0" w:color="auto"/>
        <w:left w:val="none" w:sz="0" w:space="0" w:color="auto"/>
        <w:bottom w:val="none" w:sz="0" w:space="0" w:color="auto"/>
        <w:right w:val="none" w:sz="0" w:space="0" w:color="auto"/>
      </w:divBdr>
    </w:div>
    <w:div w:id="92944119">
      <w:bodyDiv w:val="1"/>
      <w:marLeft w:val="0"/>
      <w:marRight w:val="0"/>
      <w:marTop w:val="0"/>
      <w:marBottom w:val="0"/>
      <w:divBdr>
        <w:top w:val="none" w:sz="0" w:space="0" w:color="auto"/>
        <w:left w:val="none" w:sz="0" w:space="0" w:color="auto"/>
        <w:bottom w:val="none" w:sz="0" w:space="0" w:color="auto"/>
        <w:right w:val="none" w:sz="0" w:space="0" w:color="auto"/>
      </w:divBdr>
    </w:div>
    <w:div w:id="99953232">
      <w:bodyDiv w:val="1"/>
      <w:marLeft w:val="0"/>
      <w:marRight w:val="0"/>
      <w:marTop w:val="0"/>
      <w:marBottom w:val="0"/>
      <w:divBdr>
        <w:top w:val="none" w:sz="0" w:space="0" w:color="auto"/>
        <w:left w:val="none" w:sz="0" w:space="0" w:color="auto"/>
        <w:bottom w:val="none" w:sz="0" w:space="0" w:color="auto"/>
        <w:right w:val="none" w:sz="0" w:space="0" w:color="auto"/>
      </w:divBdr>
    </w:div>
    <w:div w:id="115175767">
      <w:bodyDiv w:val="1"/>
      <w:marLeft w:val="0"/>
      <w:marRight w:val="0"/>
      <w:marTop w:val="0"/>
      <w:marBottom w:val="0"/>
      <w:divBdr>
        <w:top w:val="none" w:sz="0" w:space="0" w:color="auto"/>
        <w:left w:val="none" w:sz="0" w:space="0" w:color="auto"/>
        <w:bottom w:val="none" w:sz="0" w:space="0" w:color="auto"/>
        <w:right w:val="none" w:sz="0" w:space="0" w:color="auto"/>
      </w:divBdr>
    </w:div>
    <w:div w:id="153034475">
      <w:bodyDiv w:val="1"/>
      <w:marLeft w:val="0"/>
      <w:marRight w:val="0"/>
      <w:marTop w:val="0"/>
      <w:marBottom w:val="0"/>
      <w:divBdr>
        <w:top w:val="none" w:sz="0" w:space="0" w:color="auto"/>
        <w:left w:val="none" w:sz="0" w:space="0" w:color="auto"/>
        <w:bottom w:val="none" w:sz="0" w:space="0" w:color="auto"/>
        <w:right w:val="none" w:sz="0" w:space="0" w:color="auto"/>
      </w:divBdr>
    </w:div>
    <w:div w:id="216598523">
      <w:bodyDiv w:val="1"/>
      <w:marLeft w:val="0"/>
      <w:marRight w:val="0"/>
      <w:marTop w:val="0"/>
      <w:marBottom w:val="0"/>
      <w:divBdr>
        <w:top w:val="none" w:sz="0" w:space="0" w:color="auto"/>
        <w:left w:val="none" w:sz="0" w:space="0" w:color="auto"/>
        <w:bottom w:val="none" w:sz="0" w:space="0" w:color="auto"/>
        <w:right w:val="none" w:sz="0" w:space="0" w:color="auto"/>
      </w:divBdr>
    </w:div>
    <w:div w:id="237599991">
      <w:bodyDiv w:val="1"/>
      <w:marLeft w:val="0"/>
      <w:marRight w:val="0"/>
      <w:marTop w:val="0"/>
      <w:marBottom w:val="0"/>
      <w:divBdr>
        <w:top w:val="none" w:sz="0" w:space="0" w:color="auto"/>
        <w:left w:val="none" w:sz="0" w:space="0" w:color="auto"/>
        <w:bottom w:val="none" w:sz="0" w:space="0" w:color="auto"/>
        <w:right w:val="none" w:sz="0" w:space="0" w:color="auto"/>
      </w:divBdr>
    </w:div>
    <w:div w:id="239141691">
      <w:bodyDiv w:val="1"/>
      <w:marLeft w:val="0"/>
      <w:marRight w:val="0"/>
      <w:marTop w:val="0"/>
      <w:marBottom w:val="0"/>
      <w:divBdr>
        <w:top w:val="none" w:sz="0" w:space="0" w:color="auto"/>
        <w:left w:val="none" w:sz="0" w:space="0" w:color="auto"/>
        <w:bottom w:val="none" w:sz="0" w:space="0" w:color="auto"/>
        <w:right w:val="none" w:sz="0" w:space="0" w:color="auto"/>
      </w:divBdr>
    </w:div>
    <w:div w:id="252053797">
      <w:bodyDiv w:val="1"/>
      <w:marLeft w:val="0"/>
      <w:marRight w:val="0"/>
      <w:marTop w:val="0"/>
      <w:marBottom w:val="0"/>
      <w:divBdr>
        <w:top w:val="none" w:sz="0" w:space="0" w:color="auto"/>
        <w:left w:val="none" w:sz="0" w:space="0" w:color="auto"/>
        <w:bottom w:val="none" w:sz="0" w:space="0" w:color="auto"/>
        <w:right w:val="none" w:sz="0" w:space="0" w:color="auto"/>
      </w:divBdr>
    </w:div>
    <w:div w:id="258175704">
      <w:bodyDiv w:val="1"/>
      <w:marLeft w:val="0"/>
      <w:marRight w:val="0"/>
      <w:marTop w:val="0"/>
      <w:marBottom w:val="0"/>
      <w:divBdr>
        <w:top w:val="none" w:sz="0" w:space="0" w:color="auto"/>
        <w:left w:val="none" w:sz="0" w:space="0" w:color="auto"/>
        <w:bottom w:val="none" w:sz="0" w:space="0" w:color="auto"/>
        <w:right w:val="none" w:sz="0" w:space="0" w:color="auto"/>
      </w:divBdr>
    </w:div>
    <w:div w:id="270868440">
      <w:bodyDiv w:val="1"/>
      <w:marLeft w:val="0"/>
      <w:marRight w:val="0"/>
      <w:marTop w:val="0"/>
      <w:marBottom w:val="0"/>
      <w:divBdr>
        <w:top w:val="none" w:sz="0" w:space="0" w:color="auto"/>
        <w:left w:val="none" w:sz="0" w:space="0" w:color="auto"/>
        <w:bottom w:val="none" w:sz="0" w:space="0" w:color="auto"/>
        <w:right w:val="none" w:sz="0" w:space="0" w:color="auto"/>
      </w:divBdr>
    </w:div>
    <w:div w:id="320042737">
      <w:bodyDiv w:val="1"/>
      <w:marLeft w:val="0"/>
      <w:marRight w:val="0"/>
      <w:marTop w:val="0"/>
      <w:marBottom w:val="0"/>
      <w:divBdr>
        <w:top w:val="none" w:sz="0" w:space="0" w:color="auto"/>
        <w:left w:val="none" w:sz="0" w:space="0" w:color="auto"/>
        <w:bottom w:val="none" w:sz="0" w:space="0" w:color="auto"/>
        <w:right w:val="none" w:sz="0" w:space="0" w:color="auto"/>
      </w:divBdr>
    </w:div>
    <w:div w:id="320279677">
      <w:bodyDiv w:val="1"/>
      <w:marLeft w:val="0"/>
      <w:marRight w:val="0"/>
      <w:marTop w:val="0"/>
      <w:marBottom w:val="0"/>
      <w:divBdr>
        <w:top w:val="none" w:sz="0" w:space="0" w:color="auto"/>
        <w:left w:val="none" w:sz="0" w:space="0" w:color="auto"/>
        <w:bottom w:val="none" w:sz="0" w:space="0" w:color="auto"/>
        <w:right w:val="none" w:sz="0" w:space="0" w:color="auto"/>
      </w:divBdr>
    </w:div>
    <w:div w:id="337853480">
      <w:bodyDiv w:val="1"/>
      <w:marLeft w:val="0"/>
      <w:marRight w:val="0"/>
      <w:marTop w:val="0"/>
      <w:marBottom w:val="0"/>
      <w:divBdr>
        <w:top w:val="none" w:sz="0" w:space="0" w:color="auto"/>
        <w:left w:val="none" w:sz="0" w:space="0" w:color="auto"/>
        <w:bottom w:val="none" w:sz="0" w:space="0" w:color="auto"/>
        <w:right w:val="none" w:sz="0" w:space="0" w:color="auto"/>
      </w:divBdr>
    </w:div>
    <w:div w:id="341126390">
      <w:bodyDiv w:val="1"/>
      <w:marLeft w:val="0"/>
      <w:marRight w:val="0"/>
      <w:marTop w:val="0"/>
      <w:marBottom w:val="0"/>
      <w:divBdr>
        <w:top w:val="none" w:sz="0" w:space="0" w:color="auto"/>
        <w:left w:val="none" w:sz="0" w:space="0" w:color="auto"/>
        <w:bottom w:val="none" w:sz="0" w:space="0" w:color="auto"/>
        <w:right w:val="none" w:sz="0" w:space="0" w:color="auto"/>
      </w:divBdr>
    </w:div>
    <w:div w:id="343749093">
      <w:bodyDiv w:val="1"/>
      <w:marLeft w:val="0"/>
      <w:marRight w:val="0"/>
      <w:marTop w:val="0"/>
      <w:marBottom w:val="0"/>
      <w:divBdr>
        <w:top w:val="none" w:sz="0" w:space="0" w:color="auto"/>
        <w:left w:val="none" w:sz="0" w:space="0" w:color="auto"/>
        <w:bottom w:val="none" w:sz="0" w:space="0" w:color="auto"/>
        <w:right w:val="none" w:sz="0" w:space="0" w:color="auto"/>
      </w:divBdr>
    </w:div>
    <w:div w:id="363215832">
      <w:bodyDiv w:val="1"/>
      <w:marLeft w:val="0"/>
      <w:marRight w:val="0"/>
      <w:marTop w:val="0"/>
      <w:marBottom w:val="0"/>
      <w:divBdr>
        <w:top w:val="none" w:sz="0" w:space="0" w:color="auto"/>
        <w:left w:val="none" w:sz="0" w:space="0" w:color="auto"/>
        <w:bottom w:val="none" w:sz="0" w:space="0" w:color="auto"/>
        <w:right w:val="none" w:sz="0" w:space="0" w:color="auto"/>
      </w:divBdr>
    </w:div>
    <w:div w:id="364526339">
      <w:bodyDiv w:val="1"/>
      <w:marLeft w:val="0"/>
      <w:marRight w:val="0"/>
      <w:marTop w:val="0"/>
      <w:marBottom w:val="0"/>
      <w:divBdr>
        <w:top w:val="none" w:sz="0" w:space="0" w:color="auto"/>
        <w:left w:val="none" w:sz="0" w:space="0" w:color="auto"/>
        <w:bottom w:val="none" w:sz="0" w:space="0" w:color="auto"/>
        <w:right w:val="none" w:sz="0" w:space="0" w:color="auto"/>
      </w:divBdr>
    </w:div>
    <w:div w:id="372390782">
      <w:bodyDiv w:val="1"/>
      <w:marLeft w:val="0"/>
      <w:marRight w:val="0"/>
      <w:marTop w:val="0"/>
      <w:marBottom w:val="0"/>
      <w:divBdr>
        <w:top w:val="none" w:sz="0" w:space="0" w:color="auto"/>
        <w:left w:val="none" w:sz="0" w:space="0" w:color="auto"/>
        <w:bottom w:val="none" w:sz="0" w:space="0" w:color="auto"/>
        <w:right w:val="none" w:sz="0" w:space="0" w:color="auto"/>
      </w:divBdr>
    </w:div>
    <w:div w:id="373386368">
      <w:bodyDiv w:val="1"/>
      <w:marLeft w:val="0"/>
      <w:marRight w:val="0"/>
      <w:marTop w:val="0"/>
      <w:marBottom w:val="0"/>
      <w:divBdr>
        <w:top w:val="none" w:sz="0" w:space="0" w:color="auto"/>
        <w:left w:val="none" w:sz="0" w:space="0" w:color="auto"/>
        <w:bottom w:val="none" w:sz="0" w:space="0" w:color="auto"/>
        <w:right w:val="none" w:sz="0" w:space="0" w:color="auto"/>
      </w:divBdr>
    </w:div>
    <w:div w:id="385494544">
      <w:bodyDiv w:val="1"/>
      <w:marLeft w:val="0"/>
      <w:marRight w:val="0"/>
      <w:marTop w:val="0"/>
      <w:marBottom w:val="0"/>
      <w:divBdr>
        <w:top w:val="none" w:sz="0" w:space="0" w:color="auto"/>
        <w:left w:val="none" w:sz="0" w:space="0" w:color="auto"/>
        <w:bottom w:val="none" w:sz="0" w:space="0" w:color="auto"/>
        <w:right w:val="none" w:sz="0" w:space="0" w:color="auto"/>
      </w:divBdr>
    </w:div>
    <w:div w:id="392584954">
      <w:bodyDiv w:val="1"/>
      <w:marLeft w:val="0"/>
      <w:marRight w:val="0"/>
      <w:marTop w:val="0"/>
      <w:marBottom w:val="0"/>
      <w:divBdr>
        <w:top w:val="none" w:sz="0" w:space="0" w:color="auto"/>
        <w:left w:val="none" w:sz="0" w:space="0" w:color="auto"/>
        <w:bottom w:val="none" w:sz="0" w:space="0" w:color="auto"/>
        <w:right w:val="none" w:sz="0" w:space="0" w:color="auto"/>
      </w:divBdr>
    </w:div>
    <w:div w:id="409936311">
      <w:bodyDiv w:val="1"/>
      <w:marLeft w:val="0"/>
      <w:marRight w:val="0"/>
      <w:marTop w:val="0"/>
      <w:marBottom w:val="0"/>
      <w:divBdr>
        <w:top w:val="none" w:sz="0" w:space="0" w:color="auto"/>
        <w:left w:val="none" w:sz="0" w:space="0" w:color="auto"/>
        <w:bottom w:val="none" w:sz="0" w:space="0" w:color="auto"/>
        <w:right w:val="none" w:sz="0" w:space="0" w:color="auto"/>
      </w:divBdr>
    </w:div>
    <w:div w:id="414980944">
      <w:bodyDiv w:val="1"/>
      <w:marLeft w:val="0"/>
      <w:marRight w:val="0"/>
      <w:marTop w:val="0"/>
      <w:marBottom w:val="0"/>
      <w:divBdr>
        <w:top w:val="none" w:sz="0" w:space="0" w:color="auto"/>
        <w:left w:val="none" w:sz="0" w:space="0" w:color="auto"/>
        <w:bottom w:val="none" w:sz="0" w:space="0" w:color="auto"/>
        <w:right w:val="none" w:sz="0" w:space="0" w:color="auto"/>
      </w:divBdr>
    </w:div>
    <w:div w:id="421223174">
      <w:bodyDiv w:val="1"/>
      <w:marLeft w:val="0"/>
      <w:marRight w:val="0"/>
      <w:marTop w:val="0"/>
      <w:marBottom w:val="0"/>
      <w:divBdr>
        <w:top w:val="none" w:sz="0" w:space="0" w:color="auto"/>
        <w:left w:val="none" w:sz="0" w:space="0" w:color="auto"/>
        <w:bottom w:val="none" w:sz="0" w:space="0" w:color="auto"/>
        <w:right w:val="none" w:sz="0" w:space="0" w:color="auto"/>
      </w:divBdr>
    </w:div>
    <w:div w:id="434250048">
      <w:bodyDiv w:val="1"/>
      <w:marLeft w:val="0"/>
      <w:marRight w:val="0"/>
      <w:marTop w:val="0"/>
      <w:marBottom w:val="0"/>
      <w:divBdr>
        <w:top w:val="none" w:sz="0" w:space="0" w:color="auto"/>
        <w:left w:val="none" w:sz="0" w:space="0" w:color="auto"/>
        <w:bottom w:val="none" w:sz="0" w:space="0" w:color="auto"/>
        <w:right w:val="none" w:sz="0" w:space="0" w:color="auto"/>
      </w:divBdr>
    </w:div>
    <w:div w:id="446773728">
      <w:bodyDiv w:val="1"/>
      <w:marLeft w:val="0"/>
      <w:marRight w:val="0"/>
      <w:marTop w:val="0"/>
      <w:marBottom w:val="0"/>
      <w:divBdr>
        <w:top w:val="none" w:sz="0" w:space="0" w:color="auto"/>
        <w:left w:val="none" w:sz="0" w:space="0" w:color="auto"/>
        <w:bottom w:val="none" w:sz="0" w:space="0" w:color="auto"/>
        <w:right w:val="none" w:sz="0" w:space="0" w:color="auto"/>
      </w:divBdr>
    </w:div>
    <w:div w:id="453407038">
      <w:bodyDiv w:val="1"/>
      <w:marLeft w:val="0"/>
      <w:marRight w:val="0"/>
      <w:marTop w:val="0"/>
      <w:marBottom w:val="0"/>
      <w:divBdr>
        <w:top w:val="none" w:sz="0" w:space="0" w:color="auto"/>
        <w:left w:val="none" w:sz="0" w:space="0" w:color="auto"/>
        <w:bottom w:val="none" w:sz="0" w:space="0" w:color="auto"/>
        <w:right w:val="none" w:sz="0" w:space="0" w:color="auto"/>
      </w:divBdr>
    </w:div>
    <w:div w:id="466749439">
      <w:bodyDiv w:val="1"/>
      <w:marLeft w:val="0"/>
      <w:marRight w:val="0"/>
      <w:marTop w:val="0"/>
      <w:marBottom w:val="0"/>
      <w:divBdr>
        <w:top w:val="none" w:sz="0" w:space="0" w:color="auto"/>
        <w:left w:val="none" w:sz="0" w:space="0" w:color="auto"/>
        <w:bottom w:val="none" w:sz="0" w:space="0" w:color="auto"/>
        <w:right w:val="none" w:sz="0" w:space="0" w:color="auto"/>
      </w:divBdr>
    </w:div>
    <w:div w:id="476847436">
      <w:bodyDiv w:val="1"/>
      <w:marLeft w:val="0"/>
      <w:marRight w:val="0"/>
      <w:marTop w:val="0"/>
      <w:marBottom w:val="0"/>
      <w:divBdr>
        <w:top w:val="none" w:sz="0" w:space="0" w:color="auto"/>
        <w:left w:val="none" w:sz="0" w:space="0" w:color="auto"/>
        <w:bottom w:val="none" w:sz="0" w:space="0" w:color="auto"/>
        <w:right w:val="none" w:sz="0" w:space="0" w:color="auto"/>
      </w:divBdr>
    </w:div>
    <w:div w:id="479034913">
      <w:bodyDiv w:val="1"/>
      <w:marLeft w:val="0"/>
      <w:marRight w:val="0"/>
      <w:marTop w:val="0"/>
      <w:marBottom w:val="0"/>
      <w:divBdr>
        <w:top w:val="none" w:sz="0" w:space="0" w:color="auto"/>
        <w:left w:val="none" w:sz="0" w:space="0" w:color="auto"/>
        <w:bottom w:val="none" w:sz="0" w:space="0" w:color="auto"/>
        <w:right w:val="none" w:sz="0" w:space="0" w:color="auto"/>
      </w:divBdr>
    </w:div>
    <w:div w:id="488639277">
      <w:bodyDiv w:val="1"/>
      <w:marLeft w:val="0"/>
      <w:marRight w:val="0"/>
      <w:marTop w:val="0"/>
      <w:marBottom w:val="0"/>
      <w:divBdr>
        <w:top w:val="none" w:sz="0" w:space="0" w:color="auto"/>
        <w:left w:val="none" w:sz="0" w:space="0" w:color="auto"/>
        <w:bottom w:val="none" w:sz="0" w:space="0" w:color="auto"/>
        <w:right w:val="none" w:sz="0" w:space="0" w:color="auto"/>
      </w:divBdr>
    </w:div>
    <w:div w:id="490408994">
      <w:bodyDiv w:val="1"/>
      <w:marLeft w:val="0"/>
      <w:marRight w:val="0"/>
      <w:marTop w:val="0"/>
      <w:marBottom w:val="0"/>
      <w:divBdr>
        <w:top w:val="none" w:sz="0" w:space="0" w:color="auto"/>
        <w:left w:val="none" w:sz="0" w:space="0" w:color="auto"/>
        <w:bottom w:val="none" w:sz="0" w:space="0" w:color="auto"/>
        <w:right w:val="none" w:sz="0" w:space="0" w:color="auto"/>
      </w:divBdr>
    </w:div>
    <w:div w:id="491141183">
      <w:bodyDiv w:val="1"/>
      <w:marLeft w:val="0"/>
      <w:marRight w:val="0"/>
      <w:marTop w:val="0"/>
      <w:marBottom w:val="0"/>
      <w:divBdr>
        <w:top w:val="none" w:sz="0" w:space="0" w:color="auto"/>
        <w:left w:val="none" w:sz="0" w:space="0" w:color="auto"/>
        <w:bottom w:val="none" w:sz="0" w:space="0" w:color="auto"/>
        <w:right w:val="none" w:sz="0" w:space="0" w:color="auto"/>
      </w:divBdr>
    </w:div>
    <w:div w:id="507528843">
      <w:bodyDiv w:val="1"/>
      <w:marLeft w:val="0"/>
      <w:marRight w:val="0"/>
      <w:marTop w:val="0"/>
      <w:marBottom w:val="0"/>
      <w:divBdr>
        <w:top w:val="none" w:sz="0" w:space="0" w:color="auto"/>
        <w:left w:val="none" w:sz="0" w:space="0" w:color="auto"/>
        <w:bottom w:val="none" w:sz="0" w:space="0" w:color="auto"/>
        <w:right w:val="none" w:sz="0" w:space="0" w:color="auto"/>
      </w:divBdr>
    </w:div>
    <w:div w:id="508836552">
      <w:bodyDiv w:val="1"/>
      <w:marLeft w:val="0"/>
      <w:marRight w:val="0"/>
      <w:marTop w:val="0"/>
      <w:marBottom w:val="0"/>
      <w:divBdr>
        <w:top w:val="none" w:sz="0" w:space="0" w:color="auto"/>
        <w:left w:val="none" w:sz="0" w:space="0" w:color="auto"/>
        <w:bottom w:val="none" w:sz="0" w:space="0" w:color="auto"/>
        <w:right w:val="none" w:sz="0" w:space="0" w:color="auto"/>
      </w:divBdr>
    </w:div>
    <w:div w:id="515391818">
      <w:bodyDiv w:val="1"/>
      <w:marLeft w:val="0"/>
      <w:marRight w:val="0"/>
      <w:marTop w:val="0"/>
      <w:marBottom w:val="0"/>
      <w:divBdr>
        <w:top w:val="none" w:sz="0" w:space="0" w:color="auto"/>
        <w:left w:val="none" w:sz="0" w:space="0" w:color="auto"/>
        <w:bottom w:val="none" w:sz="0" w:space="0" w:color="auto"/>
        <w:right w:val="none" w:sz="0" w:space="0" w:color="auto"/>
      </w:divBdr>
    </w:div>
    <w:div w:id="536772470">
      <w:bodyDiv w:val="1"/>
      <w:marLeft w:val="0"/>
      <w:marRight w:val="0"/>
      <w:marTop w:val="0"/>
      <w:marBottom w:val="0"/>
      <w:divBdr>
        <w:top w:val="none" w:sz="0" w:space="0" w:color="auto"/>
        <w:left w:val="none" w:sz="0" w:space="0" w:color="auto"/>
        <w:bottom w:val="none" w:sz="0" w:space="0" w:color="auto"/>
        <w:right w:val="none" w:sz="0" w:space="0" w:color="auto"/>
      </w:divBdr>
    </w:div>
    <w:div w:id="544374279">
      <w:bodyDiv w:val="1"/>
      <w:marLeft w:val="0"/>
      <w:marRight w:val="0"/>
      <w:marTop w:val="0"/>
      <w:marBottom w:val="0"/>
      <w:divBdr>
        <w:top w:val="none" w:sz="0" w:space="0" w:color="auto"/>
        <w:left w:val="none" w:sz="0" w:space="0" w:color="auto"/>
        <w:bottom w:val="none" w:sz="0" w:space="0" w:color="auto"/>
        <w:right w:val="none" w:sz="0" w:space="0" w:color="auto"/>
      </w:divBdr>
    </w:div>
    <w:div w:id="545487018">
      <w:bodyDiv w:val="1"/>
      <w:marLeft w:val="0"/>
      <w:marRight w:val="0"/>
      <w:marTop w:val="0"/>
      <w:marBottom w:val="0"/>
      <w:divBdr>
        <w:top w:val="none" w:sz="0" w:space="0" w:color="auto"/>
        <w:left w:val="none" w:sz="0" w:space="0" w:color="auto"/>
        <w:bottom w:val="none" w:sz="0" w:space="0" w:color="auto"/>
        <w:right w:val="none" w:sz="0" w:space="0" w:color="auto"/>
      </w:divBdr>
    </w:div>
    <w:div w:id="553200072">
      <w:bodyDiv w:val="1"/>
      <w:marLeft w:val="0"/>
      <w:marRight w:val="0"/>
      <w:marTop w:val="0"/>
      <w:marBottom w:val="0"/>
      <w:divBdr>
        <w:top w:val="none" w:sz="0" w:space="0" w:color="auto"/>
        <w:left w:val="none" w:sz="0" w:space="0" w:color="auto"/>
        <w:bottom w:val="none" w:sz="0" w:space="0" w:color="auto"/>
        <w:right w:val="none" w:sz="0" w:space="0" w:color="auto"/>
      </w:divBdr>
    </w:div>
    <w:div w:id="558595459">
      <w:bodyDiv w:val="1"/>
      <w:marLeft w:val="0"/>
      <w:marRight w:val="0"/>
      <w:marTop w:val="0"/>
      <w:marBottom w:val="0"/>
      <w:divBdr>
        <w:top w:val="none" w:sz="0" w:space="0" w:color="auto"/>
        <w:left w:val="none" w:sz="0" w:space="0" w:color="auto"/>
        <w:bottom w:val="none" w:sz="0" w:space="0" w:color="auto"/>
        <w:right w:val="none" w:sz="0" w:space="0" w:color="auto"/>
      </w:divBdr>
    </w:div>
    <w:div w:id="558714823">
      <w:bodyDiv w:val="1"/>
      <w:marLeft w:val="0"/>
      <w:marRight w:val="0"/>
      <w:marTop w:val="0"/>
      <w:marBottom w:val="0"/>
      <w:divBdr>
        <w:top w:val="none" w:sz="0" w:space="0" w:color="auto"/>
        <w:left w:val="none" w:sz="0" w:space="0" w:color="auto"/>
        <w:bottom w:val="none" w:sz="0" w:space="0" w:color="auto"/>
        <w:right w:val="none" w:sz="0" w:space="0" w:color="auto"/>
      </w:divBdr>
    </w:div>
    <w:div w:id="576208431">
      <w:bodyDiv w:val="1"/>
      <w:marLeft w:val="0"/>
      <w:marRight w:val="0"/>
      <w:marTop w:val="0"/>
      <w:marBottom w:val="0"/>
      <w:divBdr>
        <w:top w:val="none" w:sz="0" w:space="0" w:color="auto"/>
        <w:left w:val="none" w:sz="0" w:space="0" w:color="auto"/>
        <w:bottom w:val="none" w:sz="0" w:space="0" w:color="auto"/>
        <w:right w:val="none" w:sz="0" w:space="0" w:color="auto"/>
      </w:divBdr>
    </w:div>
    <w:div w:id="644702121">
      <w:bodyDiv w:val="1"/>
      <w:marLeft w:val="0"/>
      <w:marRight w:val="0"/>
      <w:marTop w:val="0"/>
      <w:marBottom w:val="0"/>
      <w:divBdr>
        <w:top w:val="none" w:sz="0" w:space="0" w:color="auto"/>
        <w:left w:val="none" w:sz="0" w:space="0" w:color="auto"/>
        <w:bottom w:val="none" w:sz="0" w:space="0" w:color="auto"/>
        <w:right w:val="none" w:sz="0" w:space="0" w:color="auto"/>
      </w:divBdr>
    </w:div>
    <w:div w:id="665591414">
      <w:bodyDiv w:val="1"/>
      <w:marLeft w:val="0"/>
      <w:marRight w:val="0"/>
      <w:marTop w:val="0"/>
      <w:marBottom w:val="0"/>
      <w:divBdr>
        <w:top w:val="none" w:sz="0" w:space="0" w:color="auto"/>
        <w:left w:val="none" w:sz="0" w:space="0" w:color="auto"/>
        <w:bottom w:val="none" w:sz="0" w:space="0" w:color="auto"/>
        <w:right w:val="none" w:sz="0" w:space="0" w:color="auto"/>
      </w:divBdr>
    </w:div>
    <w:div w:id="676806944">
      <w:bodyDiv w:val="1"/>
      <w:marLeft w:val="0"/>
      <w:marRight w:val="0"/>
      <w:marTop w:val="0"/>
      <w:marBottom w:val="0"/>
      <w:divBdr>
        <w:top w:val="none" w:sz="0" w:space="0" w:color="auto"/>
        <w:left w:val="none" w:sz="0" w:space="0" w:color="auto"/>
        <w:bottom w:val="none" w:sz="0" w:space="0" w:color="auto"/>
        <w:right w:val="none" w:sz="0" w:space="0" w:color="auto"/>
      </w:divBdr>
    </w:div>
    <w:div w:id="710881307">
      <w:bodyDiv w:val="1"/>
      <w:marLeft w:val="0"/>
      <w:marRight w:val="0"/>
      <w:marTop w:val="0"/>
      <w:marBottom w:val="0"/>
      <w:divBdr>
        <w:top w:val="none" w:sz="0" w:space="0" w:color="auto"/>
        <w:left w:val="none" w:sz="0" w:space="0" w:color="auto"/>
        <w:bottom w:val="none" w:sz="0" w:space="0" w:color="auto"/>
        <w:right w:val="none" w:sz="0" w:space="0" w:color="auto"/>
      </w:divBdr>
    </w:div>
    <w:div w:id="720056209">
      <w:bodyDiv w:val="1"/>
      <w:marLeft w:val="0"/>
      <w:marRight w:val="0"/>
      <w:marTop w:val="0"/>
      <w:marBottom w:val="0"/>
      <w:divBdr>
        <w:top w:val="none" w:sz="0" w:space="0" w:color="auto"/>
        <w:left w:val="none" w:sz="0" w:space="0" w:color="auto"/>
        <w:bottom w:val="none" w:sz="0" w:space="0" w:color="auto"/>
        <w:right w:val="none" w:sz="0" w:space="0" w:color="auto"/>
      </w:divBdr>
    </w:div>
    <w:div w:id="729689079">
      <w:bodyDiv w:val="1"/>
      <w:marLeft w:val="0"/>
      <w:marRight w:val="0"/>
      <w:marTop w:val="0"/>
      <w:marBottom w:val="0"/>
      <w:divBdr>
        <w:top w:val="none" w:sz="0" w:space="0" w:color="auto"/>
        <w:left w:val="none" w:sz="0" w:space="0" w:color="auto"/>
        <w:bottom w:val="none" w:sz="0" w:space="0" w:color="auto"/>
        <w:right w:val="none" w:sz="0" w:space="0" w:color="auto"/>
      </w:divBdr>
    </w:div>
    <w:div w:id="732580068">
      <w:bodyDiv w:val="1"/>
      <w:marLeft w:val="0"/>
      <w:marRight w:val="0"/>
      <w:marTop w:val="0"/>
      <w:marBottom w:val="0"/>
      <w:divBdr>
        <w:top w:val="none" w:sz="0" w:space="0" w:color="auto"/>
        <w:left w:val="none" w:sz="0" w:space="0" w:color="auto"/>
        <w:bottom w:val="none" w:sz="0" w:space="0" w:color="auto"/>
        <w:right w:val="none" w:sz="0" w:space="0" w:color="auto"/>
      </w:divBdr>
    </w:div>
    <w:div w:id="733045005">
      <w:bodyDiv w:val="1"/>
      <w:marLeft w:val="0"/>
      <w:marRight w:val="0"/>
      <w:marTop w:val="0"/>
      <w:marBottom w:val="0"/>
      <w:divBdr>
        <w:top w:val="none" w:sz="0" w:space="0" w:color="auto"/>
        <w:left w:val="none" w:sz="0" w:space="0" w:color="auto"/>
        <w:bottom w:val="none" w:sz="0" w:space="0" w:color="auto"/>
        <w:right w:val="none" w:sz="0" w:space="0" w:color="auto"/>
      </w:divBdr>
    </w:div>
    <w:div w:id="734669404">
      <w:bodyDiv w:val="1"/>
      <w:marLeft w:val="0"/>
      <w:marRight w:val="0"/>
      <w:marTop w:val="0"/>
      <w:marBottom w:val="0"/>
      <w:divBdr>
        <w:top w:val="none" w:sz="0" w:space="0" w:color="auto"/>
        <w:left w:val="none" w:sz="0" w:space="0" w:color="auto"/>
        <w:bottom w:val="none" w:sz="0" w:space="0" w:color="auto"/>
        <w:right w:val="none" w:sz="0" w:space="0" w:color="auto"/>
      </w:divBdr>
    </w:div>
    <w:div w:id="738330894">
      <w:bodyDiv w:val="1"/>
      <w:marLeft w:val="0"/>
      <w:marRight w:val="0"/>
      <w:marTop w:val="0"/>
      <w:marBottom w:val="0"/>
      <w:divBdr>
        <w:top w:val="none" w:sz="0" w:space="0" w:color="auto"/>
        <w:left w:val="none" w:sz="0" w:space="0" w:color="auto"/>
        <w:bottom w:val="none" w:sz="0" w:space="0" w:color="auto"/>
        <w:right w:val="none" w:sz="0" w:space="0" w:color="auto"/>
      </w:divBdr>
    </w:div>
    <w:div w:id="745958926">
      <w:bodyDiv w:val="1"/>
      <w:marLeft w:val="0"/>
      <w:marRight w:val="0"/>
      <w:marTop w:val="0"/>
      <w:marBottom w:val="0"/>
      <w:divBdr>
        <w:top w:val="none" w:sz="0" w:space="0" w:color="auto"/>
        <w:left w:val="none" w:sz="0" w:space="0" w:color="auto"/>
        <w:bottom w:val="none" w:sz="0" w:space="0" w:color="auto"/>
        <w:right w:val="none" w:sz="0" w:space="0" w:color="auto"/>
      </w:divBdr>
    </w:div>
    <w:div w:id="760295029">
      <w:bodyDiv w:val="1"/>
      <w:marLeft w:val="0"/>
      <w:marRight w:val="0"/>
      <w:marTop w:val="0"/>
      <w:marBottom w:val="0"/>
      <w:divBdr>
        <w:top w:val="none" w:sz="0" w:space="0" w:color="auto"/>
        <w:left w:val="none" w:sz="0" w:space="0" w:color="auto"/>
        <w:bottom w:val="none" w:sz="0" w:space="0" w:color="auto"/>
        <w:right w:val="none" w:sz="0" w:space="0" w:color="auto"/>
      </w:divBdr>
    </w:div>
    <w:div w:id="764616060">
      <w:bodyDiv w:val="1"/>
      <w:marLeft w:val="0"/>
      <w:marRight w:val="0"/>
      <w:marTop w:val="0"/>
      <w:marBottom w:val="0"/>
      <w:divBdr>
        <w:top w:val="none" w:sz="0" w:space="0" w:color="auto"/>
        <w:left w:val="none" w:sz="0" w:space="0" w:color="auto"/>
        <w:bottom w:val="none" w:sz="0" w:space="0" w:color="auto"/>
        <w:right w:val="none" w:sz="0" w:space="0" w:color="auto"/>
      </w:divBdr>
    </w:div>
    <w:div w:id="772361414">
      <w:bodyDiv w:val="1"/>
      <w:marLeft w:val="0"/>
      <w:marRight w:val="0"/>
      <w:marTop w:val="0"/>
      <w:marBottom w:val="0"/>
      <w:divBdr>
        <w:top w:val="none" w:sz="0" w:space="0" w:color="auto"/>
        <w:left w:val="none" w:sz="0" w:space="0" w:color="auto"/>
        <w:bottom w:val="none" w:sz="0" w:space="0" w:color="auto"/>
        <w:right w:val="none" w:sz="0" w:space="0" w:color="auto"/>
      </w:divBdr>
    </w:div>
    <w:div w:id="772634575">
      <w:bodyDiv w:val="1"/>
      <w:marLeft w:val="0"/>
      <w:marRight w:val="0"/>
      <w:marTop w:val="0"/>
      <w:marBottom w:val="0"/>
      <w:divBdr>
        <w:top w:val="none" w:sz="0" w:space="0" w:color="auto"/>
        <w:left w:val="none" w:sz="0" w:space="0" w:color="auto"/>
        <w:bottom w:val="none" w:sz="0" w:space="0" w:color="auto"/>
        <w:right w:val="none" w:sz="0" w:space="0" w:color="auto"/>
      </w:divBdr>
    </w:div>
    <w:div w:id="786117674">
      <w:bodyDiv w:val="1"/>
      <w:marLeft w:val="0"/>
      <w:marRight w:val="0"/>
      <w:marTop w:val="0"/>
      <w:marBottom w:val="0"/>
      <w:divBdr>
        <w:top w:val="none" w:sz="0" w:space="0" w:color="auto"/>
        <w:left w:val="none" w:sz="0" w:space="0" w:color="auto"/>
        <w:bottom w:val="none" w:sz="0" w:space="0" w:color="auto"/>
        <w:right w:val="none" w:sz="0" w:space="0" w:color="auto"/>
      </w:divBdr>
    </w:div>
    <w:div w:id="791288634">
      <w:bodyDiv w:val="1"/>
      <w:marLeft w:val="0"/>
      <w:marRight w:val="0"/>
      <w:marTop w:val="0"/>
      <w:marBottom w:val="0"/>
      <w:divBdr>
        <w:top w:val="none" w:sz="0" w:space="0" w:color="auto"/>
        <w:left w:val="none" w:sz="0" w:space="0" w:color="auto"/>
        <w:bottom w:val="none" w:sz="0" w:space="0" w:color="auto"/>
        <w:right w:val="none" w:sz="0" w:space="0" w:color="auto"/>
      </w:divBdr>
    </w:div>
    <w:div w:id="802114396">
      <w:bodyDiv w:val="1"/>
      <w:marLeft w:val="0"/>
      <w:marRight w:val="0"/>
      <w:marTop w:val="0"/>
      <w:marBottom w:val="0"/>
      <w:divBdr>
        <w:top w:val="none" w:sz="0" w:space="0" w:color="auto"/>
        <w:left w:val="none" w:sz="0" w:space="0" w:color="auto"/>
        <w:bottom w:val="none" w:sz="0" w:space="0" w:color="auto"/>
        <w:right w:val="none" w:sz="0" w:space="0" w:color="auto"/>
      </w:divBdr>
      <w:divsChild>
        <w:div w:id="47271319">
          <w:marLeft w:val="1267"/>
          <w:marRight w:val="0"/>
          <w:marTop w:val="0"/>
          <w:marBottom w:val="0"/>
          <w:divBdr>
            <w:top w:val="none" w:sz="0" w:space="0" w:color="auto"/>
            <w:left w:val="none" w:sz="0" w:space="0" w:color="auto"/>
            <w:bottom w:val="none" w:sz="0" w:space="0" w:color="auto"/>
            <w:right w:val="none" w:sz="0" w:space="0" w:color="auto"/>
          </w:divBdr>
        </w:div>
        <w:div w:id="389353912">
          <w:marLeft w:val="1267"/>
          <w:marRight w:val="0"/>
          <w:marTop w:val="0"/>
          <w:marBottom w:val="0"/>
          <w:divBdr>
            <w:top w:val="none" w:sz="0" w:space="0" w:color="auto"/>
            <w:left w:val="none" w:sz="0" w:space="0" w:color="auto"/>
            <w:bottom w:val="none" w:sz="0" w:space="0" w:color="auto"/>
            <w:right w:val="none" w:sz="0" w:space="0" w:color="auto"/>
          </w:divBdr>
        </w:div>
        <w:div w:id="674571584">
          <w:marLeft w:val="1267"/>
          <w:marRight w:val="0"/>
          <w:marTop w:val="0"/>
          <w:marBottom w:val="0"/>
          <w:divBdr>
            <w:top w:val="none" w:sz="0" w:space="0" w:color="auto"/>
            <w:left w:val="none" w:sz="0" w:space="0" w:color="auto"/>
            <w:bottom w:val="none" w:sz="0" w:space="0" w:color="auto"/>
            <w:right w:val="none" w:sz="0" w:space="0" w:color="auto"/>
          </w:divBdr>
        </w:div>
        <w:div w:id="1596745674">
          <w:marLeft w:val="1267"/>
          <w:marRight w:val="0"/>
          <w:marTop w:val="0"/>
          <w:marBottom w:val="0"/>
          <w:divBdr>
            <w:top w:val="none" w:sz="0" w:space="0" w:color="auto"/>
            <w:left w:val="none" w:sz="0" w:space="0" w:color="auto"/>
            <w:bottom w:val="none" w:sz="0" w:space="0" w:color="auto"/>
            <w:right w:val="none" w:sz="0" w:space="0" w:color="auto"/>
          </w:divBdr>
        </w:div>
        <w:div w:id="1706255039">
          <w:marLeft w:val="547"/>
          <w:marRight w:val="0"/>
          <w:marTop w:val="0"/>
          <w:marBottom w:val="0"/>
          <w:divBdr>
            <w:top w:val="none" w:sz="0" w:space="0" w:color="auto"/>
            <w:left w:val="none" w:sz="0" w:space="0" w:color="auto"/>
            <w:bottom w:val="none" w:sz="0" w:space="0" w:color="auto"/>
            <w:right w:val="none" w:sz="0" w:space="0" w:color="auto"/>
          </w:divBdr>
        </w:div>
        <w:div w:id="1719665701">
          <w:marLeft w:val="1267"/>
          <w:marRight w:val="0"/>
          <w:marTop w:val="0"/>
          <w:marBottom w:val="0"/>
          <w:divBdr>
            <w:top w:val="none" w:sz="0" w:space="0" w:color="auto"/>
            <w:left w:val="none" w:sz="0" w:space="0" w:color="auto"/>
            <w:bottom w:val="none" w:sz="0" w:space="0" w:color="auto"/>
            <w:right w:val="none" w:sz="0" w:space="0" w:color="auto"/>
          </w:divBdr>
        </w:div>
        <w:div w:id="1937129902">
          <w:marLeft w:val="547"/>
          <w:marRight w:val="0"/>
          <w:marTop w:val="0"/>
          <w:marBottom w:val="0"/>
          <w:divBdr>
            <w:top w:val="none" w:sz="0" w:space="0" w:color="auto"/>
            <w:left w:val="none" w:sz="0" w:space="0" w:color="auto"/>
            <w:bottom w:val="none" w:sz="0" w:space="0" w:color="auto"/>
            <w:right w:val="none" w:sz="0" w:space="0" w:color="auto"/>
          </w:divBdr>
        </w:div>
        <w:div w:id="1995602712">
          <w:marLeft w:val="1267"/>
          <w:marRight w:val="0"/>
          <w:marTop w:val="0"/>
          <w:marBottom w:val="0"/>
          <w:divBdr>
            <w:top w:val="none" w:sz="0" w:space="0" w:color="auto"/>
            <w:left w:val="none" w:sz="0" w:space="0" w:color="auto"/>
            <w:bottom w:val="none" w:sz="0" w:space="0" w:color="auto"/>
            <w:right w:val="none" w:sz="0" w:space="0" w:color="auto"/>
          </w:divBdr>
        </w:div>
        <w:div w:id="2007786660">
          <w:marLeft w:val="1267"/>
          <w:marRight w:val="0"/>
          <w:marTop w:val="0"/>
          <w:marBottom w:val="0"/>
          <w:divBdr>
            <w:top w:val="none" w:sz="0" w:space="0" w:color="auto"/>
            <w:left w:val="none" w:sz="0" w:space="0" w:color="auto"/>
            <w:bottom w:val="none" w:sz="0" w:space="0" w:color="auto"/>
            <w:right w:val="none" w:sz="0" w:space="0" w:color="auto"/>
          </w:divBdr>
        </w:div>
        <w:div w:id="2129542159">
          <w:marLeft w:val="1267"/>
          <w:marRight w:val="0"/>
          <w:marTop w:val="0"/>
          <w:marBottom w:val="0"/>
          <w:divBdr>
            <w:top w:val="none" w:sz="0" w:space="0" w:color="auto"/>
            <w:left w:val="none" w:sz="0" w:space="0" w:color="auto"/>
            <w:bottom w:val="none" w:sz="0" w:space="0" w:color="auto"/>
            <w:right w:val="none" w:sz="0" w:space="0" w:color="auto"/>
          </w:divBdr>
        </w:div>
      </w:divsChild>
    </w:div>
    <w:div w:id="823395254">
      <w:bodyDiv w:val="1"/>
      <w:marLeft w:val="0"/>
      <w:marRight w:val="0"/>
      <w:marTop w:val="0"/>
      <w:marBottom w:val="0"/>
      <w:divBdr>
        <w:top w:val="none" w:sz="0" w:space="0" w:color="auto"/>
        <w:left w:val="none" w:sz="0" w:space="0" w:color="auto"/>
        <w:bottom w:val="none" w:sz="0" w:space="0" w:color="auto"/>
        <w:right w:val="none" w:sz="0" w:space="0" w:color="auto"/>
      </w:divBdr>
    </w:div>
    <w:div w:id="824278837">
      <w:bodyDiv w:val="1"/>
      <w:marLeft w:val="0"/>
      <w:marRight w:val="0"/>
      <w:marTop w:val="0"/>
      <w:marBottom w:val="0"/>
      <w:divBdr>
        <w:top w:val="none" w:sz="0" w:space="0" w:color="auto"/>
        <w:left w:val="none" w:sz="0" w:space="0" w:color="auto"/>
        <w:bottom w:val="none" w:sz="0" w:space="0" w:color="auto"/>
        <w:right w:val="none" w:sz="0" w:space="0" w:color="auto"/>
      </w:divBdr>
      <w:divsChild>
        <w:div w:id="867714469">
          <w:marLeft w:val="1166"/>
          <w:marRight w:val="0"/>
          <w:marTop w:val="86"/>
          <w:marBottom w:val="0"/>
          <w:divBdr>
            <w:top w:val="none" w:sz="0" w:space="0" w:color="auto"/>
            <w:left w:val="none" w:sz="0" w:space="0" w:color="auto"/>
            <w:bottom w:val="none" w:sz="0" w:space="0" w:color="auto"/>
            <w:right w:val="none" w:sz="0" w:space="0" w:color="auto"/>
          </w:divBdr>
        </w:div>
        <w:div w:id="965962227">
          <w:marLeft w:val="1166"/>
          <w:marRight w:val="0"/>
          <w:marTop w:val="86"/>
          <w:marBottom w:val="0"/>
          <w:divBdr>
            <w:top w:val="none" w:sz="0" w:space="0" w:color="auto"/>
            <w:left w:val="none" w:sz="0" w:space="0" w:color="auto"/>
            <w:bottom w:val="none" w:sz="0" w:space="0" w:color="auto"/>
            <w:right w:val="none" w:sz="0" w:space="0" w:color="auto"/>
          </w:divBdr>
        </w:div>
        <w:div w:id="1004892398">
          <w:marLeft w:val="1166"/>
          <w:marRight w:val="0"/>
          <w:marTop w:val="86"/>
          <w:marBottom w:val="0"/>
          <w:divBdr>
            <w:top w:val="none" w:sz="0" w:space="0" w:color="auto"/>
            <w:left w:val="none" w:sz="0" w:space="0" w:color="auto"/>
            <w:bottom w:val="none" w:sz="0" w:space="0" w:color="auto"/>
            <w:right w:val="none" w:sz="0" w:space="0" w:color="auto"/>
          </w:divBdr>
        </w:div>
        <w:div w:id="1054812456">
          <w:marLeft w:val="1166"/>
          <w:marRight w:val="0"/>
          <w:marTop w:val="86"/>
          <w:marBottom w:val="0"/>
          <w:divBdr>
            <w:top w:val="none" w:sz="0" w:space="0" w:color="auto"/>
            <w:left w:val="none" w:sz="0" w:space="0" w:color="auto"/>
            <w:bottom w:val="none" w:sz="0" w:space="0" w:color="auto"/>
            <w:right w:val="none" w:sz="0" w:space="0" w:color="auto"/>
          </w:divBdr>
        </w:div>
        <w:div w:id="1920676960">
          <w:marLeft w:val="1166"/>
          <w:marRight w:val="0"/>
          <w:marTop w:val="86"/>
          <w:marBottom w:val="0"/>
          <w:divBdr>
            <w:top w:val="none" w:sz="0" w:space="0" w:color="auto"/>
            <w:left w:val="none" w:sz="0" w:space="0" w:color="auto"/>
            <w:bottom w:val="none" w:sz="0" w:space="0" w:color="auto"/>
            <w:right w:val="none" w:sz="0" w:space="0" w:color="auto"/>
          </w:divBdr>
        </w:div>
      </w:divsChild>
    </w:div>
    <w:div w:id="832142869">
      <w:bodyDiv w:val="1"/>
      <w:marLeft w:val="0"/>
      <w:marRight w:val="0"/>
      <w:marTop w:val="0"/>
      <w:marBottom w:val="0"/>
      <w:divBdr>
        <w:top w:val="none" w:sz="0" w:space="0" w:color="auto"/>
        <w:left w:val="none" w:sz="0" w:space="0" w:color="auto"/>
        <w:bottom w:val="none" w:sz="0" w:space="0" w:color="auto"/>
        <w:right w:val="none" w:sz="0" w:space="0" w:color="auto"/>
      </w:divBdr>
    </w:div>
    <w:div w:id="832337756">
      <w:bodyDiv w:val="1"/>
      <w:marLeft w:val="0"/>
      <w:marRight w:val="0"/>
      <w:marTop w:val="0"/>
      <w:marBottom w:val="0"/>
      <w:divBdr>
        <w:top w:val="none" w:sz="0" w:space="0" w:color="auto"/>
        <w:left w:val="none" w:sz="0" w:space="0" w:color="auto"/>
        <w:bottom w:val="none" w:sz="0" w:space="0" w:color="auto"/>
        <w:right w:val="none" w:sz="0" w:space="0" w:color="auto"/>
      </w:divBdr>
    </w:div>
    <w:div w:id="832523079">
      <w:bodyDiv w:val="1"/>
      <w:marLeft w:val="0"/>
      <w:marRight w:val="0"/>
      <w:marTop w:val="0"/>
      <w:marBottom w:val="0"/>
      <w:divBdr>
        <w:top w:val="none" w:sz="0" w:space="0" w:color="auto"/>
        <w:left w:val="none" w:sz="0" w:space="0" w:color="auto"/>
        <w:bottom w:val="none" w:sz="0" w:space="0" w:color="auto"/>
        <w:right w:val="none" w:sz="0" w:space="0" w:color="auto"/>
      </w:divBdr>
    </w:div>
    <w:div w:id="838816153">
      <w:bodyDiv w:val="1"/>
      <w:marLeft w:val="0"/>
      <w:marRight w:val="0"/>
      <w:marTop w:val="0"/>
      <w:marBottom w:val="0"/>
      <w:divBdr>
        <w:top w:val="none" w:sz="0" w:space="0" w:color="auto"/>
        <w:left w:val="none" w:sz="0" w:space="0" w:color="auto"/>
        <w:bottom w:val="none" w:sz="0" w:space="0" w:color="auto"/>
        <w:right w:val="none" w:sz="0" w:space="0" w:color="auto"/>
      </w:divBdr>
    </w:div>
    <w:div w:id="858810821">
      <w:bodyDiv w:val="1"/>
      <w:marLeft w:val="0"/>
      <w:marRight w:val="0"/>
      <w:marTop w:val="0"/>
      <w:marBottom w:val="0"/>
      <w:divBdr>
        <w:top w:val="none" w:sz="0" w:space="0" w:color="auto"/>
        <w:left w:val="none" w:sz="0" w:space="0" w:color="auto"/>
        <w:bottom w:val="none" w:sz="0" w:space="0" w:color="auto"/>
        <w:right w:val="none" w:sz="0" w:space="0" w:color="auto"/>
      </w:divBdr>
    </w:div>
    <w:div w:id="861475228">
      <w:bodyDiv w:val="1"/>
      <w:marLeft w:val="0"/>
      <w:marRight w:val="0"/>
      <w:marTop w:val="0"/>
      <w:marBottom w:val="0"/>
      <w:divBdr>
        <w:top w:val="none" w:sz="0" w:space="0" w:color="auto"/>
        <w:left w:val="none" w:sz="0" w:space="0" w:color="auto"/>
        <w:bottom w:val="none" w:sz="0" w:space="0" w:color="auto"/>
        <w:right w:val="none" w:sz="0" w:space="0" w:color="auto"/>
      </w:divBdr>
    </w:div>
    <w:div w:id="870532131">
      <w:bodyDiv w:val="1"/>
      <w:marLeft w:val="0"/>
      <w:marRight w:val="0"/>
      <w:marTop w:val="0"/>
      <w:marBottom w:val="0"/>
      <w:divBdr>
        <w:top w:val="none" w:sz="0" w:space="0" w:color="auto"/>
        <w:left w:val="none" w:sz="0" w:space="0" w:color="auto"/>
        <w:bottom w:val="none" w:sz="0" w:space="0" w:color="auto"/>
        <w:right w:val="none" w:sz="0" w:space="0" w:color="auto"/>
      </w:divBdr>
    </w:div>
    <w:div w:id="873423626">
      <w:bodyDiv w:val="1"/>
      <w:marLeft w:val="0"/>
      <w:marRight w:val="0"/>
      <w:marTop w:val="0"/>
      <w:marBottom w:val="0"/>
      <w:divBdr>
        <w:top w:val="none" w:sz="0" w:space="0" w:color="auto"/>
        <w:left w:val="none" w:sz="0" w:space="0" w:color="auto"/>
        <w:bottom w:val="none" w:sz="0" w:space="0" w:color="auto"/>
        <w:right w:val="none" w:sz="0" w:space="0" w:color="auto"/>
      </w:divBdr>
    </w:div>
    <w:div w:id="906692202">
      <w:bodyDiv w:val="1"/>
      <w:marLeft w:val="0"/>
      <w:marRight w:val="0"/>
      <w:marTop w:val="0"/>
      <w:marBottom w:val="0"/>
      <w:divBdr>
        <w:top w:val="none" w:sz="0" w:space="0" w:color="auto"/>
        <w:left w:val="none" w:sz="0" w:space="0" w:color="auto"/>
        <w:bottom w:val="none" w:sz="0" w:space="0" w:color="auto"/>
        <w:right w:val="none" w:sz="0" w:space="0" w:color="auto"/>
      </w:divBdr>
    </w:div>
    <w:div w:id="923956590">
      <w:bodyDiv w:val="1"/>
      <w:marLeft w:val="0"/>
      <w:marRight w:val="0"/>
      <w:marTop w:val="0"/>
      <w:marBottom w:val="0"/>
      <w:divBdr>
        <w:top w:val="none" w:sz="0" w:space="0" w:color="auto"/>
        <w:left w:val="none" w:sz="0" w:space="0" w:color="auto"/>
        <w:bottom w:val="none" w:sz="0" w:space="0" w:color="auto"/>
        <w:right w:val="none" w:sz="0" w:space="0" w:color="auto"/>
      </w:divBdr>
    </w:div>
    <w:div w:id="936406891">
      <w:bodyDiv w:val="1"/>
      <w:marLeft w:val="0"/>
      <w:marRight w:val="0"/>
      <w:marTop w:val="0"/>
      <w:marBottom w:val="0"/>
      <w:divBdr>
        <w:top w:val="none" w:sz="0" w:space="0" w:color="auto"/>
        <w:left w:val="none" w:sz="0" w:space="0" w:color="auto"/>
        <w:bottom w:val="none" w:sz="0" w:space="0" w:color="auto"/>
        <w:right w:val="none" w:sz="0" w:space="0" w:color="auto"/>
      </w:divBdr>
    </w:div>
    <w:div w:id="937955652">
      <w:bodyDiv w:val="1"/>
      <w:marLeft w:val="0"/>
      <w:marRight w:val="0"/>
      <w:marTop w:val="0"/>
      <w:marBottom w:val="0"/>
      <w:divBdr>
        <w:top w:val="none" w:sz="0" w:space="0" w:color="auto"/>
        <w:left w:val="none" w:sz="0" w:space="0" w:color="auto"/>
        <w:bottom w:val="none" w:sz="0" w:space="0" w:color="auto"/>
        <w:right w:val="none" w:sz="0" w:space="0" w:color="auto"/>
      </w:divBdr>
      <w:divsChild>
        <w:div w:id="334843944">
          <w:marLeft w:val="446"/>
          <w:marRight w:val="0"/>
          <w:marTop w:val="86"/>
          <w:marBottom w:val="0"/>
          <w:divBdr>
            <w:top w:val="none" w:sz="0" w:space="0" w:color="auto"/>
            <w:left w:val="none" w:sz="0" w:space="0" w:color="auto"/>
            <w:bottom w:val="none" w:sz="0" w:space="0" w:color="auto"/>
            <w:right w:val="none" w:sz="0" w:space="0" w:color="auto"/>
          </w:divBdr>
        </w:div>
        <w:div w:id="474952625">
          <w:marLeft w:val="446"/>
          <w:marRight w:val="0"/>
          <w:marTop w:val="86"/>
          <w:marBottom w:val="0"/>
          <w:divBdr>
            <w:top w:val="none" w:sz="0" w:space="0" w:color="auto"/>
            <w:left w:val="none" w:sz="0" w:space="0" w:color="auto"/>
            <w:bottom w:val="none" w:sz="0" w:space="0" w:color="auto"/>
            <w:right w:val="none" w:sz="0" w:space="0" w:color="auto"/>
          </w:divBdr>
        </w:div>
        <w:div w:id="700592877">
          <w:marLeft w:val="1166"/>
          <w:marRight w:val="0"/>
          <w:marTop w:val="86"/>
          <w:marBottom w:val="0"/>
          <w:divBdr>
            <w:top w:val="none" w:sz="0" w:space="0" w:color="auto"/>
            <w:left w:val="none" w:sz="0" w:space="0" w:color="auto"/>
            <w:bottom w:val="none" w:sz="0" w:space="0" w:color="auto"/>
            <w:right w:val="none" w:sz="0" w:space="0" w:color="auto"/>
          </w:divBdr>
        </w:div>
        <w:div w:id="1122991217">
          <w:marLeft w:val="1166"/>
          <w:marRight w:val="0"/>
          <w:marTop w:val="86"/>
          <w:marBottom w:val="0"/>
          <w:divBdr>
            <w:top w:val="none" w:sz="0" w:space="0" w:color="auto"/>
            <w:left w:val="none" w:sz="0" w:space="0" w:color="auto"/>
            <w:bottom w:val="none" w:sz="0" w:space="0" w:color="auto"/>
            <w:right w:val="none" w:sz="0" w:space="0" w:color="auto"/>
          </w:divBdr>
        </w:div>
        <w:div w:id="1295022354">
          <w:marLeft w:val="1166"/>
          <w:marRight w:val="0"/>
          <w:marTop w:val="86"/>
          <w:marBottom w:val="0"/>
          <w:divBdr>
            <w:top w:val="none" w:sz="0" w:space="0" w:color="auto"/>
            <w:left w:val="none" w:sz="0" w:space="0" w:color="auto"/>
            <w:bottom w:val="none" w:sz="0" w:space="0" w:color="auto"/>
            <w:right w:val="none" w:sz="0" w:space="0" w:color="auto"/>
          </w:divBdr>
        </w:div>
        <w:div w:id="1728718170">
          <w:marLeft w:val="446"/>
          <w:marRight w:val="0"/>
          <w:marTop w:val="86"/>
          <w:marBottom w:val="0"/>
          <w:divBdr>
            <w:top w:val="none" w:sz="0" w:space="0" w:color="auto"/>
            <w:left w:val="none" w:sz="0" w:space="0" w:color="auto"/>
            <w:bottom w:val="none" w:sz="0" w:space="0" w:color="auto"/>
            <w:right w:val="none" w:sz="0" w:space="0" w:color="auto"/>
          </w:divBdr>
        </w:div>
      </w:divsChild>
    </w:div>
    <w:div w:id="948467565">
      <w:bodyDiv w:val="1"/>
      <w:marLeft w:val="0"/>
      <w:marRight w:val="0"/>
      <w:marTop w:val="0"/>
      <w:marBottom w:val="0"/>
      <w:divBdr>
        <w:top w:val="none" w:sz="0" w:space="0" w:color="auto"/>
        <w:left w:val="none" w:sz="0" w:space="0" w:color="auto"/>
        <w:bottom w:val="none" w:sz="0" w:space="0" w:color="auto"/>
        <w:right w:val="none" w:sz="0" w:space="0" w:color="auto"/>
      </w:divBdr>
    </w:div>
    <w:div w:id="953177478">
      <w:bodyDiv w:val="1"/>
      <w:marLeft w:val="0"/>
      <w:marRight w:val="0"/>
      <w:marTop w:val="0"/>
      <w:marBottom w:val="0"/>
      <w:divBdr>
        <w:top w:val="none" w:sz="0" w:space="0" w:color="auto"/>
        <w:left w:val="none" w:sz="0" w:space="0" w:color="auto"/>
        <w:bottom w:val="none" w:sz="0" w:space="0" w:color="auto"/>
        <w:right w:val="none" w:sz="0" w:space="0" w:color="auto"/>
      </w:divBdr>
    </w:div>
    <w:div w:id="957107296">
      <w:bodyDiv w:val="1"/>
      <w:marLeft w:val="0"/>
      <w:marRight w:val="0"/>
      <w:marTop w:val="0"/>
      <w:marBottom w:val="0"/>
      <w:divBdr>
        <w:top w:val="none" w:sz="0" w:space="0" w:color="auto"/>
        <w:left w:val="none" w:sz="0" w:space="0" w:color="auto"/>
        <w:bottom w:val="none" w:sz="0" w:space="0" w:color="auto"/>
        <w:right w:val="none" w:sz="0" w:space="0" w:color="auto"/>
      </w:divBdr>
    </w:div>
    <w:div w:id="957448007">
      <w:bodyDiv w:val="1"/>
      <w:marLeft w:val="0"/>
      <w:marRight w:val="0"/>
      <w:marTop w:val="0"/>
      <w:marBottom w:val="0"/>
      <w:divBdr>
        <w:top w:val="none" w:sz="0" w:space="0" w:color="auto"/>
        <w:left w:val="none" w:sz="0" w:space="0" w:color="auto"/>
        <w:bottom w:val="none" w:sz="0" w:space="0" w:color="auto"/>
        <w:right w:val="none" w:sz="0" w:space="0" w:color="auto"/>
      </w:divBdr>
    </w:div>
    <w:div w:id="1006589656">
      <w:bodyDiv w:val="1"/>
      <w:marLeft w:val="0"/>
      <w:marRight w:val="0"/>
      <w:marTop w:val="0"/>
      <w:marBottom w:val="0"/>
      <w:divBdr>
        <w:top w:val="none" w:sz="0" w:space="0" w:color="auto"/>
        <w:left w:val="none" w:sz="0" w:space="0" w:color="auto"/>
        <w:bottom w:val="none" w:sz="0" w:space="0" w:color="auto"/>
        <w:right w:val="none" w:sz="0" w:space="0" w:color="auto"/>
      </w:divBdr>
    </w:div>
    <w:div w:id="1043865833">
      <w:bodyDiv w:val="1"/>
      <w:marLeft w:val="0"/>
      <w:marRight w:val="0"/>
      <w:marTop w:val="0"/>
      <w:marBottom w:val="0"/>
      <w:divBdr>
        <w:top w:val="none" w:sz="0" w:space="0" w:color="auto"/>
        <w:left w:val="none" w:sz="0" w:space="0" w:color="auto"/>
        <w:bottom w:val="none" w:sz="0" w:space="0" w:color="auto"/>
        <w:right w:val="none" w:sz="0" w:space="0" w:color="auto"/>
      </w:divBdr>
    </w:div>
    <w:div w:id="1053194997">
      <w:bodyDiv w:val="1"/>
      <w:marLeft w:val="0"/>
      <w:marRight w:val="0"/>
      <w:marTop w:val="0"/>
      <w:marBottom w:val="0"/>
      <w:divBdr>
        <w:top w:val="none" w:sz="0" w:space="0" w:color="auto"/>
        <w:left w:val="none" w:sz="0" w:space="0" w:color="auto"/>
        <w:bottom w:val="none" w:sz="0" w:space="0" w:color="auto"/>
        <w:right w:val="none" w:sz="0" w:space="0" w:color="auto"/>
      </w:divBdr>
    </w:div>
    <w:div w:id="1056507878">
      <w:bodyDiv w:val="1"/>
      <w:marLeft w:val="0"/>
      <w:marRight w:val="0"/>
      <w:marTop w:val="0"/>
      <w:marBottom w:val="0"/>
      <w:divBdr>
        <w:top w:val="none" w:sz="0" w:space="0" w:color="auto"/>
        <w:left w:val="none" w:sz="0" w:space="0" w:color="auto"/>
        <w:bottom w:val="none" w:sz="0" w:space="0" w:color="auto"/>
        <w:right w:val="none" w:sz="0" w:space="0" w:color="auto"/>
      </w:divBdr>
    </w:div>
    <w:div w:id="1077633778">
      <w:bodyDiv w:val="1"/>
      <w:marLeft w:val="0"/>
      <w:marRight w:val="0"/>
      <w:marTop w:val="0"/>
      <w:marBottom w:val="0"/>
      <w:divBdr>
        <w:top w:val="none" w:sz="0" w:space="0" w:color="auto"/>
        <w:left w:val="none" w:sz="0" w:space="0" w:color="auto"/>
        <w:bottom w:val="none" w:sz="0" w:space="0" w:color="auto"/>
        <w:right w:val="none" w:sz="0" w:space="0" w:color="auto"/>
      </w:divBdr>
    </w:div>
    <w:div w:id="1098449931">
      <w:bodyDiv w:val="1"/>
      <w:marLeft w:val="0"/>
      <w:marRight w:val="0"/>
      <w:marTop w:val="0"/>
      <w:marBottom w:val="0"/>
      <w:divBdr>
        <w:top w:val="none" w:sz="0" w:space="0" w:color="auto"/>
        <w:left w:val="none" w:sz="0" w:space="0" w:color="auto"/>
        <w:bottom w:val="none" w:sz="0" w:space="0" w:color="auto"/>
        <w:right w:val="none" w:sz="0" w:space="0" w:color="auto"/>
      </w:divBdr>
    </w:div>
    <w:div w:id="1111434422">
      <w:bodyDiv w:val="1"/>
      <w:marLeft w:val="0"/>
      <w:marRight w:val="0"/>
      <w:marTop w:val="0"/>
      <w:marBottom w:val="0"/>
      <w:divBdr>
        <w:top w:val="none" w:sz="0" w:space="0" w:color="auto"/>
        <w:left w:val="none" w:sz="0" w:space="0" w:color="auto"/>
        <w:bottom w:val="none" w:sz="0" w:space="0" w:color="auto"/>
        <w:right w:val="none" w:sz="0" w:space="0" w:color="auto"/>
      </w:divBdr>
    </w:div>
    <w:div w:id="1129276219">
      <w:bodyDiv w:val="1"/>
      <w:marLeft w:val="0"/>
      <w:marRight w:val="0"/>
      <w:marTop w:val="0"/>
      <w:marBottom w:val="0"/>
      <w:divBdr>
        <w:top w:val="none" w:sz="0" w:space="0" w:color="auto"/>
        <w:left w:val="none" w:sz="0" w:space="0" w:color="auto"/>
        <w:bottom w:val="none" w:sz="0" w:space="0" w:color="auto"/>
        <w:right w:val="none" w:sz="0" w:space="0" w:color="auto"/>
      </w:divBdr>
    </w:div>
    <w:div w:id="1152143190">
      <w:bodyDiv w:val="1"/>
      <w:marLeft w:val="0"/>
      <w:marRight w:val="0"/>
      <w:marTop w:val="0"/>
      <w:marBottom w:val="0"/>
      <w:divBdr>
        <w:top w:val="none" w:sz="0" w:space="0" w:color="auto"/>
        <w:left w:val="none" w:sz="0" w:space="0" w:color="auto"/>
        <w:bottom w:val="none" w:sz="0" w:space="0" w:color="auto"/>
        <w:right w:val="none" w:sz="0" w:space="0" w:color="auto"/>
      </w:divBdr>
    </w:div>
    <w:div w:id="1197814945">
      <w:bodyDiv w:val="1"/>
      <w:marLeft w:val="0"/>
      <w:marRight w:val="0"/>
      <w:marTop w:val="0"/>
      <w:marBottom w:val="0"/>
      <w:divBdr>
        <w:top w:val="none" w:sz="0" w:space="0" w:color="auto"/>
        <w:left w:val="none" w:sz="0" w:space="0" w:color="auto"/>
        <w:bottom w:val="none" w:sz="0" w:space="0" w:color="auto"/>
        <w:right w:val="none" w:sz="0" w:space="0" w:color="auto"/>
      </w:divBdr>
    </w:div>
    <w:div w:id="1203010119">
      <w:bodyDiv w:val="1"/>
      <w:marLeft w:val="0"/>
      <w:marRight w:val="0"/>
      <w:marTop w:val="0"/>
      <w:marBottom w:val="0"/>
      <w:divBdr>
        <w:top w:val="none" w:sz="0" w:space="0" w:color="auto"/>
        <w:left w:val="none" w:sz="0" w:space="0" w:color="auto"/>
        <w:bottom w:val="none" w:sz="0" w:space="0" w:color="auto"/>
        <w:right w:val="none" w:sz="0" w:space="0" w:color="auto"/>
      </w:divBdr>
    </w:div>
    <w:div w:id="1206217626">
      <w:bodyDiv w:val="1"/>
      <w:marLeft w:val="0"/>
      <w:marRight w:val="0"/>
      <w:marTop w:val="0"/>
      <w:marBottom w:val="0"/>
      <w:divBdr>
        <w:top w:val="none" w:sz="0" w:space="0" w:color="auto"/>
        <w:left w:val="none" w:sz="0" w:space="0" w:color="auto"/>
        <w:bottom w:val="none" w:sz="0" w:space="0" w:color="auto"/>
        <w:right w:val="none" w:sz="0" w:space="0" w:color="auto"/>
      </w:divBdr>
    </w:div>
    <w:div w:id="1210141534">
      <w:bodyDiv w:val="1"/>
      <w:marLeft w:val="0"/>
      <w:marRight w:val="0"/>
      <w:marTop w:val="0"/>
      <w:marBottom w:val="0"/>
      <w:divBdr>
        <w:top w:val="none" w:sz="0" w:space="0" w:color="auto"/>
        <w:left w:val="none" w:sz="0" w:space="0" w:color="auto"/>
        <w:bottom w:val="none" w:sz="0" w:space="0" w:color="auto"/>
        <w:right w:val="none" w:sz="0" w:space="0" w:color="auto"/>
      </w:divBdr>
    </w:div>
    <w:div w:id="1211455704">
      <w:bodyDiv w:val="1"/>
      <w:marLeft w:val="0"/>
      <w:marRight w:val="0"/>
      <w:marTop w:val="0"/>
      <w:marBottom w:val="0"/>
      <w:divBdr>
        <w:top w:val="none" w:sz="0" w:space="0" w:color="auto"/>
        <w:left w:val="none" w:sz="0" w:space="0" w:color="auto"/>
        <w:bottom w:val="none" w:sz="0" w:space="0" w:color="auto"/>
        <w:right w:val="none" w:sz="0" w:space="0" w:color="auto"/>
      </w:divBdr>
    </w:div>
    <w:div w:id="1228690128">
      <w:bodyDiv w:val="1"/>
      <w:marLeft w:val="0"/>
      <w:marRight w:val="0"/>
      <w:marTop w:val="0"/>
      <w:marBottom w:val="0"/>
      <w:divBdr>
        <w:top w:val="none" w:sz="0" w:space="0" w:color="auto"/>
        <w:left w:val="none" w:sz="0" w:space="0" w:color="auto"/>
        <w:bottom w:val="none" w:sz="0" w:space="0" w:color="auto"/>
        <w:right w:val="none" w:sz="0" w:space="0" w:color="auto"/>
      </w:divBdr>
    </w:div>
    <w:div w:id="1302154318">
      <w:bodyDiv w:val="1"/>
      <w:marLeft w:val="0"/>
      <w:marRight w:val="0"/>
      <w:marTop w:val="0"/>
      <w:marBottom w:val="0"/>
      <w:divBdr>
        <w:top w:val="none" w:sz="0" w:space="0" w:color="auto"/>
        <w:left w:val="none" w:sz="0" w:space="0" w:color="auto"/>
        <w:bottom w:val="none" w:sz="0" w:space="0" w:color="auto"/>
        <w:right w:val="none" w:sz="0" w:space="0" w:color="auto"/>
      </w:divBdr>
    </w:div>
    <w:div w:id="1307393538">
      <w:bodyDiv w:val="1"/>
      <w:marLeft w:val="0"/>
      <w:marRight w:val="0"/>
      <w:marTop w:val="0"/>
      <w:marBottom w:val="0"/>
      <w:divBdr>
        <w:top w:val="none" w:sz="0" w:space="0" w:color="auto"/>
        <w:left w:val="none" w:sz="0" w:space="0" w:color="auto"/>
        <w:bottom w:val="none" w:sz="0" w:space="0" w:color="auto"/>
        <w:right w:val="none" w:sz="0" w:space="0" w:color="auto"/>
      </w:divBdr>
    </w:div>
    <w:div w:id="1314143598">
      <w:bodyDiv w:val="1"/>
      <w:marLeft w:val="0"/>
      <w:marRight w:val="0"/>
      <w:marTop w:val="0"/>
      <w:marBottom w:val="0"/>
      <w:divBdr>
        <w:top w:val="none" w:sz="0" w:space="0" w:color="auto"/>
        <w:left w:val="none" w:sz="0" w:space="0" w:color="auto"/>
        <w:bottom w:val="none" w:sz="0" w:space="0" w:color="auto"/>
        <w:right w:val="none" w:sz="0" w:space="0" w:color="auto"/>
      </w:divBdr>
    </w:div>
    <w:div w:id="1322805745">
      <w:bodyDiv w:val="1"/>
      <w:marLeft w:val="0"/>
      <w:marRight w:val="0"/>
      <w:marTop w:val="0"/>
      <w:marBottom w:val="0"/>
      <w:divBdr>
        <w:top w:val="none" w:sz="0" w:space="0" w:color="auto"/>
        <w:left w:val="none" w:sz="0" w:space="0" w:color="auto"/>
        <w:bottom w:val="none" w:sz="0" w:space="0" w:color="auto"/>
        <w:right w:val="none" w:sz="0" w:space="0" w:color="auto"/>
      </w:divBdr>
    </w:div>
    <w:div w:id="1356737357">
      <w:bodyDiv w:val="1"/>
      <w:marLeft w:val="0"/>
      <w:marRight w:val="0"/>
      <w:marTop w:val="0"/>
      <w:marBottom w:val="0"/>
      <w:divBdr>
        <w:top w:val="none" w:sz="0" w:space="0" w:color="auto"/>
        <w:left w:val="none" w:sz="0" w:space="0" w:color="auto"/>
        <w:bottom w:val="none" w:sz="0" w:space="0" w:color="auto"/>
        <w:right w:val="none" w:sz="0" w:space="0" w:color="auto"/>
      </w:divBdr>
    </w:div>
    <w:div w:id="1360281539">
      <w:bodyDiv w:val="1"/>
      <w:marLeft w:val="0"/>
      <w:marRight w:val="0"/>
      <w:marTop w:val="0"/>
      <w:marBottom w:val="0"/>
      <w:divBdr>
        <w:top w:val="none" w:sz="0" w:space="0" w:color="auto"/>
        <w:left w:val="none" w:sz="0" w:space="0" w:color="auto"/>
        <w:bottom w:val="none" w:sz="0" w:space="0" w:color="auto"/>
        <w:right w:val="none" w:sz="0" w:space="0" w:color="auto"/>
      </w:divBdr>
    </w:div>
    <w:div w:id="1361084022">
      <w:bodyDiv w:val="1"/>
      <w:marLeft w:val="0"/>
      <w:marRight w:val="0"/>
      <w:marTop w:val="0"/>
      <w:marBottom w:val="0"/>
      <w:divBdr>
        <w:top w:val="none" w:sz="0" w:space="0" w:color="auto"/>
        <w:left w:val="none" w:sz="0" w:space="0" w:color="auto"/>
        <w:bottom w:val="none" w:sz="0" w:space="0" w:color="auto"/>
        <w:right w:val="none" w:sz="0" w:space="0" w:color="auto"/>
      </w:divBdr>
    </w:div>
    <w:div w:id="1372537908">
      <w:bodyDiv w:val="1"/>
      <w:marLeft w:val="0"/>
      <w:marRight w:val="0"/>
      <w:marTop w:val="0"/>
      <w:marBottom w:val="0"/>
      <w:divBdr>
        <w:top w:val="none" w:sz="0" w:space="0" w:color="auto"/>
        <w:left w:val="none" w:sz="0" w:space="0" w:color="auto"/>
        <w:bottom w:val="none" w:sz="0" w:space="0" w:color="auto"/>
        <w:right w:val="none" w:sz="0" w:space="0" w:color="auto"/>
      </w:divBdr>
    </w:div>
    <w:div w:id="1393195004">
      <w:bodyDiv w:val="1"/>
      <w:marLeft w:val="0"/>
      <w:marRight w:val="0"/>
      <w:marTop w:val="0"/>
      <w:marBottom w:val="0"/>
      <w:divBdr>
        <w:top w:val="none" w:sz="0" w:space="0" w:color="auto"/>
        <w:left w:val="none" w:sz="0" w:space="0" w:color="auto"/>
        <w:bottom w:val="none" w:sz="0" w:space="0" w:color="auto"/>
        <w:right w:val="none" w:sz="0" w:space="0" w:color="auto"/>
      </w:divBdr>
    </w:div>
    <w:div w:id="1403988281">
      <w:bodyDiv w:val="1"/>
      <w:marLeft w:val="0"/>
      <w:marRight w:val="0"/>
      <w:marTop w:val="0"/>
      <w:marBottom w:val="0"/>
      <w:divBdr>
        <w:top w:val="none" w:sz="0" w:space="0" w:color="auto"/>
        <w:left w:val="none" w:sz="0" w:space="0" w:color="auto"/>
        <w:bottom w:val="none" w:sz="0" w:space="0" w:color="auto"/>
        <w:right w:val="none" w:sz="0" w:space="0" w:color="auto"/>
      </w:divBdr>
    </w:div>
    <w:div w:id="1419129964">
      <w:bodyDiv w:val="1"/>
      <w:marLeft w:val="0"/>
      <w:marRight w:val="0"/>
      <w:marTop w:val="0"/>
      <w:marBottom w:val="0"/>
      <w:divBdr>
        <w:top w:val="none" w:sz="0" w:space="0" w:color="auto"/>
        <w:left w:val="none" w:sz="0" w:space="0" w:color="auto"/>
        <w:bottom w:val="none" w:sz="0" w:space="0" w:color="auto"/>
        <w:right w:val="none" w:sz="0" w:space="0" w:color="auto"/>
      </w:divBdr>
    </w:div>
    <w:div w:id="1419714932">
      <w:bodyDiv w:val="1"/>
      <w:marLeft w:val="0"/>
      <w:marRight w:val="0"/>
      <w:marTop w:val="0"/>
      <w:marBottom w:val="0"/>
      <w:divBdr>
        <w:top w:val="none" w:sz="0" w:space="0" w:color="auto"/>
        <w:left w:val="none" w:sz="0" w:space="0" w:color="auto"/>
        <w:bottom w:val="none" w:sz="0" w:space="0" w:color="auto"/>
        <w:right w:val="none" w:sz="0" w:space="0" w:color="auto"/>
      </w:divBdr>
    </w:div>
    <w:div w:id="1428890813">
      <w:bodyDiv w:val="1"/>
      <w:marLeft w:val="0"/>
      <w:marRight w:val="0"/>
      <w:marTop w:val="0"/>
      <w:marBottom w:val="0"/>
      <w:divBdr>
        <w:top w:val="none" w:sz="0" w:space="0" w:color="auto"/>
        <w:left w:val="none" w:sz="0" w:space="0" w:color="auto"/>
        <w:bottom w:val="none" w:sz="0" w:space="0" w:color="auto"/>
        <w:right w:val="none" w:sz="0" w:space="0" w:color="auto"/>
      </w:divBdr>
    </w:div>
    <w:div w:id="1438911234">
      <w:bodyDiv w:val="1"/>
      <w:marLeft w:val="0"/>
      <w:marRight w:val="0"/>
      <w:marTop w:val="0"/>
      <w:marBottom w:val="0"/>
      <w:divBdr>
        <w:top w:val="none" w:sz="0" w:space="0" w:color="auto"/>
        <w:left w:val="none" w:sz="0" w:space="0" w:color="auto"/>
        <w:bottom w:val="none" w:sz="0" w:space="0" w:color="auto"/>
        <w:right w:val="none" w:sz="0" w:space="0" w:color="auto"/>
      </w:divBdr>
    </w:div>
    <w:div w:id="1490436781">
      <w:bodyDiv w:val="1"/>
      <w:marLeft w:val="0"/>
      <w:marRight w:val="0"/>
      <w:marTop w:val="0"/>
      <w:marBottom w:val="0"/>
      <w:divBdr>
        <w:top w:val="none" w:sz="0" w:space="0" w:color="auto"/>
        <w:left w:val="none" w:sz="0" w:space="0" w:color="auto"/>
        <w:bottom w:val="none" w:sz="0" w:space="0" w:color="auto"/>
        <w:right w:val="none" w:sz="0" w:space="0" w:color="auto"/>
      </w:divBdr>
    </w:div>
    <w:div w:id="1543591829">
      <w:bodyDiv w:val="1"/>
      <w:marLeft w:val="0"/>
      <w:marRight w:val="0"/>
      <w:marTop w:val="0"/>
      <w:marBottom w:val="0"/>
      <w:divBdr>
        <w:top w:val="none" w:sz="0" w:space="0" w:color="auto"/>
        <w:left w:val="none" w:sz="0" w:space="0" w:color="auto"/>
        <w:bottom w:val="none" w:sz="0" w:space="0" w:color="auto"/>
        <w:right w:val="none" w:sz="0" w:space="0" w:color="auto"/>
      </w:divBdr>
    </w:div>
    <w:div w:id="1557282450">
      <w:bodyDiv w:val="1"/>
      <w:marLeft w:val="0"/>
      <w:marRight w:val="0"/>
      <w:marTop w:val="0"/>
      <w:marBottom w:val="0"/>
      <w:divBdr>
        <w:top w:val="none" w:sz="0" w:space="0" w:color="auto"/>
        <w:left w:val="none" w:sz="0" w:space="0" w:color="auto"/>
        <w:bottom w:val="none" w:sz="0" w:space="0" w:color="auto"/>
        <w:right w:val="none" w:sz="0" w:space="0" w:color="auto"/>
      </w:divBdr>
    </w:div>
    <w:div w:id="1599370650">
      <w:bodyDiv w:val="1"/>
      <w:marLeft w:val="0"/>
      <w:marRight w:val="0"/>
      <w:marTop w:val="0"/>
      <w:marBottom w:val="0"/>
      <w:divBdr>
        <w:top w:val="none" w:sz="0" w:space="0" w:color="auto"/>
        <w:left w:val="none" w:sz="0" w:space="0" w:color="auto"/>
        <w:bottom w:val="none" w:sz="0" w:space="0" w:color="auto"/>
        <w:right w:val="none" w:sz="0" w:space="0" w:color="auto"/>
      </w:divBdr>
    </w:div>
    <w:div w:id="1602762983">
      <w:bodyDiv w:val="1"/>
      <w:marLeft w:val="0"/>
      <w:marRight w:val="0"/>
      <w:marTop w:val="0"/>
      <w:marBottom w:val="0"/>
      <w:divBdr>
        <w:top w:val="none" w:sz="0" w:space="0" w:color="auto"/>
        <w:left w:val="none" w:sz="0" w:space="0" w:color="auto"/>
        <w:bottom w:val="none" w:sz="0" w:space="0" w:color="auto"/>
        <w:right w:val="none" w:sz="0" w:space="0" w:color="auto"/>
      </w:divBdr>
    </w:div>
    <w:div w:id="1606035011">
      <w:bodyDiv w:val="1"/>
      <w:marLeft w:val="0"/>
      <w:marRight w:val="0"/>
      <w:marTop w:val="0"/>
      <w:marBottom w:val="0"/>
      <w:divBdr>
        <w:top w:val="none" w:sz="0" w:space="0" w:color="auto"/>
        <w:left w:val="none" w:sz="0" w:space="0" w:color="auto"/>
        <w:bottom w:val="none" w:sz="0" w:space="0" w:color="auto"/>
        <w:right w:val="none" w:sz="0" w:space="0" w:color="auto"/>
      </w:divBdr>
    </w:div>
    <w:div w:id="1610703577">
      <w:bodyDiv w:val="1"/>
      <w:marLeft w:val="0"/>
      <w:marRight w:val="0"/>
      <w:marTop w:val="0"/>
      <w:marBottom w:val="0"/>
      <w:divBdr>
        <w:top w:val="none" w:sz="0" w:space="0" w:color="auto"/>
        <w:left w:val="none" w:sz="0" w:space="0" w:color="auto"/>
        <w:bottom w:val="none" w:sz="0" w:space="0" w:color="auto"/>
        <w:right w:val="none" w:sz="0" w:space="0" w:color="auto"/>
      </w:divBdr>
    </w:div>
    <w:div w:id="1620257009">
      <w:bodyDiv w:val="1"/>
      <w:marLeft w:val="0"/>
      <w:marRight w:val="0"/>
      <w:marTop w:val="0"/>
      <w:marBottom w:val="0"/>
      <w:divBdr>
        <w:top w:val="none" w:sz="0" w:space="0" w:color="auto"/>
        <w:left w:val="none" w:sz="0" w:space="0" w:color="auto"/>
        <w:bottom w:val="none" w:sz="0" w:space="0" w:color="auto"/>
        <w:right w:val="none" w:sz="0" w:space="0" w:color="auto"/>
      </w:divBdr>
      <w:divsChild>
        <w:div w:id="1774275728">
          <w:marLeft w:val="150"/>
          <w:marRight w:val="0"/>
          <w:marTop w:val="0"/>
          <w:marBottom w:val="0"/>
          <w:divBdr>
            <w:top w:val="none" w:sz="0" w:space="0" w:color="auto"/>
            <w:left w:val="none" w:sz="0" w:space="0" w:color="auto"/>
            <w:bottom w:val="none" w:sz="0" w:space="0" w:color="auto"/>
            <w:right w:val="none" w:sz="0" w:space="0" w:color="auto"/>
          </w:divBdr>
          <w:divsChild>
            <w:div w:id="115202354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625306707">
      <w:bodyDiv w:val="1"/>
      <w:marLeft w:val="0"/>
      <w:marRight w:val="0"/>
      <w:marTop w:val="0"/>
      <w:marBottom w:val="0"/>
      <w:divBdr>
        <w:top w:val="none" w:sz="0" w:space="0" w:color="auto"/>
        <w:left w:val="none" w:sz="0" w:space="0" w:color="auto"/>
        <w:bottom w:val="none" w:sz="0" w:space="0" w:color="auto"/>
        <w:right w:val="none" w:sz="0" w:space="0" w:color="auto"/>
      </w:divBdr>
    </w:div>
    <w:div w:id="1638950962">
      <w:bodyDiv w:val="1"/>
      <w:marLeft w:val="0"/>
      <w:marRight w:val="0"/>
      <w:marTop w:val="0"/>
      <w:marBottom w:val="0"/>
      <w:divBdr>
        <w:top w:val="none" w:sz="0" w:space="0" w:color="auto"/>
        <w:left w:val="none" w:sz="0" w:space="0" w:color="auto"/>
        <w:bottom w:val="none" w:sz="0" w:space="0" w:color="auto"/>
        <w:right w:val="none" w:sz="0" w:space="0" w:color="auto"/>
      </w:divBdr>
    </w:div>
    <w:div w:id="1662539502">
      <w:bodyDiv w:val="1"/>
      <w:marLeft w:val="0"/>
      <w:marRight w:val="0"/>
      <w:marTop w:val="0"/>
      <w:marBottom w:val="0"/>
      <w:divBdr>
        <w:top w:val="none" w:sz="0" w:space="0" w:color="auto"/>
        <w:left w:val="none" w:sz="0" w:space="0" w:color="auto"/>
        <w:bottom w:val="none" w:sz="0" w:space="0" w:color="auto"/>
        <w:right w:val="none" w:sz="0" w:space="0" w:color="auto"/>
      </w:divBdr>
    </w:div>
    <w:div w:id="1677732542">
      <w:bodyDiv w:val="1"/>
      <w:marLeft w:val="0"/>
      <w:marRight w:val="0"/>
      <w:marTop w:val="0"/>
      <w:marBottom w:val="0"/>
      <w:divBdr>
        <w:top w:val="none" w:sz="0" w:space="0" w:color="auto"/>
        <w:left w:val="none" w:sz="0" w:space="0" w:color="auto"/>
        <w:bottom w:val="none" w:sz="0" w:space="0" w:color="auto"/>
        <w:right w:val="none" w:sz="0" w:space="0" w:color="auto"/>
      </w:divBdr>
    </w:div>
    <w:div w:id="1689942050">
      <w:bodyDiv w:val="1"/>
      <w:marLeft w:val="0"/>
      <w:marRight w:val="0"/>
      <w:marTop w:val="0"/>
      <w:marBottom w:val="0"/>
      <w:divBdr>
        <w:top w:val="none" w:sz="0" w:space="0" w:color="auto"/>
        <w:left w:val="none" w:sz="0" w:space="0" w:color="auto"/>
        <w:bottom w:val="none" w:sz="0" w:space="0" w:color="auto"/>
        <w:right w:val="none" w:sz="0" w:space="0" w:color="auto"/>
      </w:divBdr>
    </w:div>
    <w:div w:id="1691683248">
      <w:bodyDiv w:val="1"/>
      <w:marLeft w:val="0"/>
      <w:marRight w:val="0"/>
      <w:marTop w:val="0"/>
      <w:marBottom w:val="0"/>
      <w:divBdr>
        <w:top w:val="none" w:sz="0" w:space="0" w:color="auto"/>
        <w:left w:val="none" w:sz="0" w:space="0" w:color="auto"/>
        <w:bottom w:val="none" w:sz="0" w:space="0" w:color="auto"/>
        <w:right w:val="none" w:sz="0" w:space="0" w:color="auto"/>
      </w:divBdr>
    </w:div>
    <w:div w:id="1706833204">
      <w:bodyDiv w:val="1"/>
      <w:marLeft w:val="0"/>
      <w:marRight w:val="0"/>
      <w:marTop w:val="0"/>
      <w:marBottom w:val="0"/>
      <w:divBdr>
        <w:top w:val="none" w:sz="0" w:space="0" w:color="auto"/>
        <w:left w:val="none" w:sz="0" w:space="0" w:color="auto"/>
        <w:bottom w:val="none" w:sz="0" w:space="0" w:color="auto"/>
        <w:right w:val="none" w:sz="0" w:space="0" w:color="auto"/>
      </w:divBdr>
    </w:div>
    <w:div w:id="1736850730">
      <w:bodyDiv w:val="1"/>
      <w:marLeft w:val="0"/>
      <w:marRight w:val="0"/>
      <w:marTop w:val="0"/>
      <w:marBottom w:val="0"/>
      <w:divBdr>
        <w:top w:val="none" w:sz="0" w:space="0" w:color="auto"/>
        <w:left w:val="none" w:sz="0" w:space="0" w:color="auto"/>
        <w:bottom w:val="none" w:sz="0" w:space="0" w:color="auto"/>
        <w:right w:val="none" w:sz="0" w:space="0" w:color="auto"/>
      </w:divBdr>
    </w:div>
    <w:div w:id="1763448329">
      <w:bodyDiv w:val="1"/>
      <w:marLeft w:val="0"/>
      <w:marRight w:val="0"/>
      <w:marTop w:val="0"/>
      <w:marBottom w:val="0"/>
      <w:divBdr>
        <w:top w:val="none" w:sz="0" w:space="0" w:color="auto"/>
        <w:left w:val="none" w:sz="0" w:space="0" w:color="auto"/>
        <w:bottom w:val="none" w:sz="0" w:space="0" w:color="auto"/>
        <w:right w:val="none" w:sz="0" w:space="0" w:color="auto"/>
      </w:divBdr>
    </w:div>
    <w:div w:id="1799104171">
      <w:bodyDiv w:val="1"/>
      <w:marLeft w:val="0"/>
      <w:marRight w:val="0"/>
      <w:marTop w:val="0"/>
      <w:marBottom w:val="0"/>
      <w:divBdr>
        <w:top w:val="none" w:sz="0" w:space="0" w:color="auto"/>
        <w:left w:val="none" w:sz="0" w:space="0" w:color="auto"/>
        <w:bottom w:val="none" w:sz="0" w:space="0" w:color="auto"/>
        <w:right w:val="none" w:sz="0" w:space="0" w:color="auto"/>
      </w:divBdr>
    </w:div>
    <w:div w:id="1810433748">
      <w:bodyDiv w:val="1"/>
      <w:marLeft w:val="0"/>
      <w:marRight w:val="0"/>
      <w:marTop w:val="0"/>
      <w:marBottom w:val="0"/>
      <w:divBdr>
        <w:top w:val="none" w:sz="0" w:space="0" w:color="auto"/>
        <w:left w:val="none" w:sz="0" w:space="0" w:color="auto"/>
        <w:bottom w:val="none" w:sz="0" w:space="0" w:color="auto"/>
        <w:right w:val="none" w:sz="0" w:space="0" w:color="auto"/>
      </w:divBdr>
    </w:div>
    <w:div w:id="1819883048">
      <w:bodyDiv w:val="1"/>
      <w:marLeft w:val="0"/>
      <w:marRight w:val="0"/>
      <w:marTop w:val="0"/>
      <w:marBottom w:val="0"/>
      <w:divBdr>
        <w:top w:val="none" w:sz="0" w:space="0" w:color="auto"/>
        <w:left w:val="none" w:sz="0" w:space="0" w:color="auto"/>
        <w:bottom w:val="none" w:sz="0" w:space="0" w:color="auto"/>
        <w:right w:val="none" w:sz="0" w:space="0" w:color="auto"/>
      </w:divBdr>
    </w:div>
    <w:div w:id="1830444239">
      <w:bodyDiv w:val="1"/>
      <w:marLeft w:val="0"/>
      <w:marRight w:val="0"/>
      <w:marTop w:val="0"/>
      <w:marBottom w:val="0"/>
      <w:divBdr>
        <w:top w:val="none" w:sz="0" w:space="0" w:color="auto"/>
        <w:left w:val="none" w:sz="0" w:space="0" w:color="auto"/>
        <w:bottom w:val="none" w:sz="0" w:space="0" w:color="auto"/>
        <w:right w:val="none" w:sz="0" w:space="0" w:color="auto"/>
      </w:divBdr>
    </w:div>
    <w:div w:id="1840999139">
      <w:bodyDiv w:val="1"/>
      <w:marLeft w:val="0"/>
      <w:marRight w:val="0"/>
      <w:marTop w:val="0"/>
      <w:marBottom w:val="0"/>
      <w:divBdr>
        <w:top w:val="none" w:sz="0" w:space="0" w:color="auto"/>
        <w:left w:val="none" w:sz="0" w:space="0" w:color="auto"/>
        <w:bottom w:val="none" w:sz="0" w:space="0" w:color="auto"/>
        <w:right w:val="none" w:sz="0" w:space="0" w:color="auto"/>
      </w:divBdr>
    </w:div>
    <w:div w:id="1848401633">
      <w:bodyDiv w:val="1"/>
      <w:marLeft w:val="0"/>
      <w:marRight w:val="0"/>
      <w:marTop w:val="0"/>
      <w:marBottom w:val="0"/>
      <w:divBdr>
        <w:top w:val="none" w:sz="0" w:space="0" w:color="auto"/>
        <w:left w:val="none" w:sz="0" w:space="0" w:color="auto"/>
        <w:bottom w:val="none" w:sz="0" w:space="0" w:color="auto"/>
        <w:right w:val="none" w:sz="0" w:space="0" w:color="auto"/>
      </w:divBdr>
    </w:div>
    <w:div w:id="1867789573">
      <w:bodyDiv w:val="1"/>
      <w:marLeft w:val="0"/>
      <w:marRight w:val="0"/>
      <w:marTop w:val="0"/>
      <w:marBottom w:val="0"/>
      <w:divBdr>
        <w:top w:val="none" w:sz="0" w:space="0" w:color="auto"/>
        <w:left w:val="none" w:sz="0" w:space="0" w:color="auto"/>
        <w:bottom w:val="none" w:sz="0" w:space="0" w:color="auto"/>
        <w:right w:val="none" w:sz="0" w:space="0" w:color="auto"/>
      </w:divBdr>
    </w:div>
    <w:div w:id="1873299006">
      <w:bodyDiv w:val="1"/>
      <w:marLeft w:val="0"/>
      <w:marRight w:val="0"/>
      <w:marTop w:val="0"/>
      <w:marBottom w:val="0"/>
      <w:divBdr>
        <w:top w:val="none" w:sz="0" w:space="0" w:color="auto"/>
        <w:left w:val="none" w:sz="0" w:space="0" w:color="auto"/>
        <w:bottom w:val="none" w:sz="0" w:space="0" w:color="auto"/>
        <w:right w:val="none" w:sz="0" w:space="0" w:color="auto"/>
      </w:divBdr>
    </w:div>
    <w:div w:id="1874683097">
      <w:bodyDiv w:val="1"/>
      <w:marLeft w:val="0"/>
      <w:marRight w:val="0"/>
      <w:marTop w:val="0"/>
      <w:marBottom w:val="0"/>
      <w:divBdr>
        <w:top w:val="none" w:sz="0" w:space="0" w:color="auto"/>
        <w:left w:val="none" w:sz="0" w:space="0" w:color="auto"/>
        <w:bottom w:val="none" w:sz="0" w:space="0" w:color="auto"/>
        <w:right w:val="none" w:sz="0" w:space="0" w:color="auto"/>
      </w:divBdr>
    </w:div>
    <w:div w:id="1877769821">
      <w:bodyDiv w:val="1"/>
      <w:marLeft w:val="0"/>
      <w:marRight w:val="0"/>
      <w:marTop w:val="0"/>
      <w:marBottom w:val="0"/>
      <w:divBdr>
        <w:top w:val="none" w:sz="0" w:space="0" w:color="auto"/>
        <w:left w:val="none" w:sz="0" w:space="0" w:color="auto"/>
        <w:bottom w:val="none" w:sz="0" w:space="0" w:color="auto"/>
        <w:right w:val="none" w:sz="0" w:space="0" w:color="auto"/>
      </w:divBdr>
    </w:div>
    <w:div w:id="1908035461">
      <w:bodyDiv w:val="1"/>
      <w:marLeft w:val="0"/>
      <w:marRight w:val="0"/>
      <w:marTop w:val="0"/>
      <w:marBottom w:val="0"/>
      <w:divBdr>
        <w:top w:val="none" w:sz="0" w:space="0" w:color="auto"/>
        <w:left w:val="none" w:sz="0" w:space="0" w:color="auto"/>
        <w:bottom w:val="none" w:sz="0" w:space="0" w:color="auto"/>
        <w:right w:val="none" w:sz="0" w:space="0" w:color="auto"/>
      </w:divBdr>
      <w:divsChild>
        <w:div w:id="114981853">
          <w:marLeft w:val="446"/>
          <w:marRight w:val="0"/>
          <w:marTop w:val="86"/>
          <w:marBottom w:val="0"/>
          <w:divBdr>
            <w:top w:val="none" w:sz="0" w:space="0" w:color="auto"/>
            <w:left w:val="none" w:sz="0" w:space="0" w:color="auto"/>
            <w:bottom w:val="none" w:sz="0" w:space="0" w:color="auto"/>
            <w:right w:val="none" w:sz="0" w:space="0" w:color="auto"/>
          </w:divBdr>
        </w:div>
        <w:div w:id="637226784">
          <w:marLeft w:val="1166"/>
          <w:marRight w:val="0"/>
          <w:marTop w:val="86"/>
          <w:marBottom w:val="0"/>
          <w:divBdr>
            <w:top w:val="none" w:sz="0" w:space="0" w:color="auto"/>
            <w:left w:val="none" w:sz="0" w:space="0" w:color="auto"/>
            <w:bottom w:val="none" w:sz="0" w:space="0" w:color="auto"/>
            <w:right w:val="none" w:sz="0" w:space="0" w:color="auto"/>
          </w:divBdr>
        </w:div>
        <w:div w:id="887960788">
          <w:marLeft w:val="1166"/>
          <w:marRight w:val="0"/>
          <w:marTop w:val="86"/>
          <w:marBottom w:val="0"/>
          <w:divBdr>
            <w:top w:val="none" w:sz="0" w:space="0" w:color="auto"/>
            <w:left w:val="none" w:sz="0" w:space="0" w:color="auto"/>
            <w:bottom w:val="none" w:sz="0" w:space="0" w:color="auto"/>
            <w:right w:val="none" w:sz="0" w:space="0" w:color="auto"/>
          </w:divBdr>
        </w:div>
        <w:div w:id="1220871038">
          <w:marLeft w:val="446"/>
          <w:marRight w:val="0"/>
          <w:marTop w:val="86"/>
          <w:marBottom w:val="0"/>
          <w:divBdr>
            <w:top w:val="none" w:sz="0" w:space="0" w:color="auto"/>
            <w:left w:val="none" w:sz="0" w:space="0" w:color="auto"/>
            <w:bottom w:val="none" w:sz="0" w:space="0" w:color="auto"/>
            <w:right w:val="none" w:sz="0" w:space="0" w:color="auto"/>
          </w:divBdr>
        </w:div>
        <w:div w:id="1731683500">
          <w:marLeft w:val="1166"/>
          <w:marRight w:val="0"/>
          <w:marTop w:val="86"/>
          <w:marBottom w:val="0"/>
          <w:divBdr>
            <w:top w:val="none" w:sz="0" w:space="0" w:color="auto"/>
            <w:left w:val="none" w:sz="0" w:space="0" w:color="auto"/>
            <w:bottom w:val="none" w:sz="0" w:space="0" w:color="auto"/>
            <w:right w:val="none" w:sz="0" w:space="0" w:color="auto"/>
          </w:divBdr>
        </w:div>
      </w:divsChild>
    </w:div>
    <w:div w:id="1926644967">
      <w:bodyDiv w:val="1"/>
      <w:marLeft w:val="0"/>
      <w:marRight w:val="0"/>
      <w:marTop w:val="0"/>
      <w:marBottom w:val="0"/>
      <w:divBdr>
        <w:top w:val="none" w:sz="0" w:space="0" w:color="auto"/>
        <w:left w:val="none" w:sz="0" w:space="0" w:color="auto"/>
        <w:bottom w:val="none" w:sz="0" w:space="0" w:color="auto"/>
        <w:right w:val="none" w:sz="0" w:space="0" w:color="auto"/>
      </w:divBdr>
    </w:div>
    <w:div w:id="1928802849">
      <w:bodyDiv w:val="1"/>
      <w:marLeft w:val="0"/>
      <w:marRight w:val="0"/>
      <w:marTop w:val="0"/>
      <w:marBottom w:val="0"/>
      <w:divBdr>
        <w:top w:val="none" w:sz="0" w:space="0" w:color="auto"/>
        <w:left w:val="none" w:sz="0" w:space="0" w:color="auto"/>
        <w:bottom w:val="none" w:sz="0" w:space="0" w:color="auto"/>
        <w:right w:val="none" w:sz="0" w:space="0" w:color="auto"/>
      </w:divBdr>
    </w:div>
    <w:div w:id="1930041930">
      <w:bodyDiv w:val="1"/>
      <w:marLeft w:val="0"/>
      <w:marRight w:val="0"/>
      <w:marTop w:val="0"/>
      <w:marBottom w:val="0"/>
      <w:divBdr>
        <w:top w:val="none" w:sz="0" w:space="0" w:color="auto"/>
        <w:left w:val="none" w:sz="0" w:space="0" w:color="auto"/>
        <w:bottom w:val="none" w:sz="0" w:space="0" w:color="auto"/>
        <w:right w:val="none" w:sz="0" w:space="0" w:color="auto"/>
      </w:divBdr>
    </w:div>
    <w:div w:id="1931740279">
      <w:bodyDiv w:val="1"/>
      <w:marLeft w:val="0"/>
      <w:marRight w:val="0"/>
      <w:marTop w:val="0"/>
      <w:marBottom w:val="0"/>
      <w:divBdr>
        <w:top w:val="none" w:sz="0" w:space="0" w:color="auto"/>
        <w:left w:val="none" w:sz="0" w:space="0" w:color="auto"/>
        <w:bottom w:val="none" w:sz="0" w:space="0" w:color="auto"/>
        <w:right w:val="none" w:sz="0" w:space="0" w:color="auto"/>
      </w:divBdr>
    </w:div>
    <w:div w:id="1936018622">
      <w:bodyDiv w:val="1"/>
      <w:marLeft w:val="0"/>
      <w:marRight w:val="0"/>
      <w:marTop w:val="0"/>
      <w:marBottom w:val="0"/>
      <w:divBdr>
        <w:top w:val="none" w:sz="0" w:space="0" w:color="auto"/>
        <w:left w:val="none" w:sz="0" w:space="0" w:color="auto"/>
        <w:bottom w:val="none" w:sz="0" w:space="0" w:color="auto"/>
        <w:right w:val="none" w:sz="0" w:space="0" w:color="auto"/>
      </w:divBdr>
    </w:div>
    <w:div w:id="1960455701">
      <w:bodyDiv w:val="1"/>
      <w:marLeft w:val="0"/>
      <w:marRight w:val="0"/>
      <w:marTop w:val="0"/>
      <w:marBottom w:val="0"/>
      <w:divBdr>
        <w:top w:val="none" w:sz="0" w:space="0" w:color="auto"/>
        <w:left w:val="none" w:sz="0" w:space="0" w:color="auto"/>
        <w:bottom w:val="none" w:sz="0" w:space="0" w:color="auto"/>
        <w:right w:val="none" w:sz="0" w:space="0" w:color="auto"/>
      </w:divBdr>
    </w:div>
    <w:div w:id="1973705532">
      <w:bodyDiv w:val="1"/>
      <w:marLeft w:val="0"/>
      <w:marRight w:val="0"/>
      <w:marTop w:val="0"/>
      <w:marBottom w:val="0"/>
      <w:divBdr>
        <w:top w:val="none" w:sz="0" w:space="0" w:color="auto"/>
        <w:left w:val="none" w:sz="0" w:space="0" w:color="auto"/>
        <w:bottom w:val="none" w:sz="0" w:space="0" w:color="auto"/>
        <w:right w:val="none" w:sz="0" w:space="0" w:color="auto"/>
      </w:divBdr>
    </w:div>
    <w:div w:id="1976132169">
      <w:bodyDiv w:val="1"/>
      <w:marLeft w:val="0"/>
      <w:marRight w:val="0"/>
      <w:marTop w:val="0"/>
      <w:marBottom w:val="0"/>
      <w:divBdr>
        <w:top w:val="none" w:sz="0" w:space="0" w:color="auto"/>
        <w:left w:val="none" w:sz="0" w:space="0" w:color="auto"/>
        <w:bottom w:val="none" w:sz="0" w:space="0" w:color="auto"/>
        <w:right w:val="none" w:sz="0" w:space="0" w:color="auto"/>
      </w:divBdr>
    </w:div>
    <w:div w:id="1993219079">
      <w:bodyDiv w:val="1"/>
      <w:marLeft w:val="0"/>
      <w:marRight w:val="0"/>
      <w:marTop w:val="0"/>
      <w:marBottom w:val="0"/>
      <w:divBdr>
        <w:top w:val="none" w:sz="0" w:space="0" w:color="auto"/>
        <w:left w:val="none" w:sz="0" w:space="0" w:color="auto"/>
        <w:bottom w:val="none" w:sz="0" w:space="0" w:color="auto"/>
        <w:right w:val="none" w:sz="0" w:space="0" w:color="auto"/>
      </w:divBdr>
    </w:div>
    <w:div w:id="1996228057">
      <w:bodyDiv w:val="1"/>
      <w:marLeft w:val="0"/>
      <w:marRight w:val="0"/>
      <w:marTop w:val="0"/>
      <w:marBottom w:val="0"/>
      <w:divBdr>
        <w:top w:val="none" w:sz="0" w:space="0" w:color="auto"/>
        <w:left w:val="none" w:sz="0" w:space="0" w:color="auto"/>
        <w:bottom w:val="none" w:sz="0" w:space="0" w:color="auto"/>
        <w:right w:val="none" w:sz="0" w:space="0" w:color="auto"/>
      </w:divBdr>
    </w:div>
    <w:div w:id="2005014088">
      <w:bodyDiv w:val="1"/>
      <w:marLeft w:val="0"/>
      <w:marRight w:val="0"/>
      <w:marTop w:val="0"/>
      <w:marBottom w:val="0"/>
      <w:divBdr>
        <w:top w:val="none" w:sz="0" w:space="0" w:color="auto"/>
        <w:left w:val="none" w:sz="0" w:space="0" w:color="auto"/>
        <w:bottom w:val="none" w:sz="0" w:space="0" w:color="auto"/>
        <w:right w:val="none" w:sz="0" w:space="0" w:color="auto"/>
      </w:divBdr>
    </w:div>
    <w:div w:id="2010326660">
      <w:bodyDiv w:val="1"/>
      <w:marLeft w:val="0"/>
      <w:marRight w:val="0"/>
      <w:marTop w:val="0"/>
      <w:marBottom w:val="0"/>
      <w:divBdr>
        <w:top w:val="none" w:sz="0" w:space="0" w:color="auto"/>
        <w:left w:val="none" w:sz="0" w:space="0" w:color="auto"/>
        <w:bottom w:val="none" w:sz="0" w:space="0" w:color="auto"/>
        <w:right w:val="none" w:sz="0" w:space="0" w:color="auto"/>
      </w:divBdr>
    </w:div>
    <w:div w:id="2013485389">
      <w:bodyDiv w:val="1"/>
      <w:marLeft w:val="0"/>
      <w:marRight w:val="0"/>
      <w:marTop w:val="0"/>
      <w:marBottom w:val="0"/>
      <w:divBdr>
        <w:top w:val="none" w:sz="0" w:space="0" w:color="auto"/>
        <w:left w:val="none" w:sz="0" w:space="0" w:color="auto"/>
        <w:bottom w:val="none" w:sz="0" w:space="0" w:color="auto"/>
        <w:right w:val="none" w:sz="0" w:space="0" w:color="auto"/>
      </w:divBdr>
    </w:div>
    <w:div w:id="2020811716">
      <w:bodyDiv w:val="1"/>
      <w:marLeft w:val="0"/>
      <w:marRight w:val="0"/>
      <w:marTop w:val="0"/>
      <w:marBottom w:val="0"/>
      <w:divBdr>
        <w:top w:val="none" w:sz="0" w:space="0" w:color="auto"/>
        <w:left w:val="none" w:sz="0" w:space="0" w:color="auto"/>
        <w:bottom w:val="none" w:sz="0" w:space="0" w:color="auto"/>
        <w:right w:val="none" w:sz="0" w:space="0" w:color="auto"/>
      </w:divBdr>
    </w:div>
    <w:div w:id="2041323195">
      <w:bodyDiv w:val="1"/>
      <w:marLeft w:val="0"/>
      <w:marRight w:val="0"/>
      <w:marTop w:val="0"/>
      <w:marBottom w:val="0"/>
      <w:divBdr>
        <w:top w:val="none" w:sz="0" w:space="0" w:color="auto"/>
        <w:left w:val="none" w:sz="0" w:space="0" w:color="auto"/>
        <w:bottom w:val="none" w:sz="0" w:space="0" w:color="auto"/>
        <w:right w:val="none" w:sz="0" w:space="0" w:color="auto"/>
      </w:divBdr>
    </w:div>
    <w:div w:id="2049262307">
      <w:bodyDiv w:val="1"/>
      <w:marLeft w:val="0"/>
      <w:marRight w:val="0"/>
      <w:marTop w:val="0"/>
      <w:marBottom w:val="0"/>
      <w:divBdr>
        <w:top w:val="none" w:sz="0" w:space="0" w:color="auto"/>
        <w:left w:val="none" w:sz="0" w:space="0" w:color="auto"/>
        <w:bottom w:val="none" w:sz="0" w:space="0" w:color="auto"/>
        <w:right w:val="none" w:sz="0" w:space="0" w:color="auto"/>
      </w:divBdr>
    </w:div>
    <w:div w:id="2052001052">
      <w:bodyDiv w:val="1"/>
      <w:marLeft w:val="0"/>
      <w:marRight w:val="0"/>
      <w:marTop w:val="0"/>
      <w:marBottom w:val="0"/>
      <w:divBdr>
        <w:top w:val="none" w:sz="0" w:space="0" w:color="auto"/>
        <w:left w:val="none" w:sz="0" w:space="0" w:color="auto"/>
        <w:bottom w:val="none" w:sz="0" w:space="0" w:color="auto"/>
        <w:right w:val="none" w:sz="0" w:space="0" w:color="auto"/>
      </w:divBdr>
    </w:div>
    <w:div w:id="2073233839">
      <w:bodyDiv w:val="1"/>
      <w:marLeft w:val="0"/>
      <w:marRight w:val="0"/>
      <w:marTop w:val="0"/>
      <w:marBottom w:val="0"/>
      <w:divBdr>
        <w:top w:val="none" w:sz="0" w:space="0" w:color="auto"/>
        <w:left w:val="none" w:sz="0" w:space="0" w:color="auto"/>
        <w:bottom w:val="none" w:sz="0" w:space="0" w:color="auto"/>
        <w:right w:val="none" w:sz="0" w:space="0" w:color="auto"/>
      </w:divBdr>
    </w:div>
    <w:div w:id="2090618091">
      <w:bodyDiv w:val="1"/>
      <w:marLeft w:val="0"/>
      <w:marRight w:val="0"/>
      <w:marTop w:val="0"/>
      <w:marBottom w:val="0"/>
      <w:divBdr>
        <w:top w:val="none" w:sz="0" w:space="0" w:color="auto"/>
        <w:left w:val="none" w:sz="0" w:space="0" w:color="auto"/>
        <w:bottom w:val="none" w:sz="0" w:space="0" w:color="auto"/>
        <w:right w:val="none" w:sz="0" w:space="0" w:color="auto"/>
      </w:divBdr>
    </w:div>
    <w:div w:id="2099017802">
      <w:bodyDiv w:val="1"/>
      <w:marLeft w:val="0"/>
      <w:marRight w:val="0"/>
      <w:marTop w:val="0"/>
      <w:marBottom w:val="0"/>
      <w:divBdr>
        <w:top w:val="none" w:sz="0" w:space="0" w:color="auto"/>
        <w:left w:val="none" w:sz="0" w:space="0" w:color="auto"/>
        <w:bottom w:val="none" w:sz="0" w:space="0" w:color="auto"/>
        <w:right w:val="none" w:sz="0" w:space="0" w:color="auto"/>
      </w:divBdr>
    </w:div>
    <w:div w:id="2115661210">
      <w:bodyDiv w:val="1"/>
      <w:marLeft w:val="0"/>
      <w:marRight w:val="0"/>
      <w:marTop w:val="0"/>
      <w:marBottom w:val="0"/>
      <w:divBdr>
        <w:top w:val="none" w:sz="0" w:space="0" w:color="auto"/>
        <w:left w:val="none" w:sz="0" w:space="0" w:color="auto"/>
        <w:bottom w:val="none" w:sz="0" w:space="0" w:color="auto"/>
        <w:right w:val="none" w:sz="0" w:space="0" w:color="auto"/>
      </w:divBdr>
    </w:div>
    <w:div w:id="2126655081">
      <w:bodyDiv w:val="1"/>
      <w:marLeft w:val="0"/>
      <w:marRight w:val="0"/>
      <w:marTop w:val="0"/>
      <w:marBottom w:val="0"/>
      <w:divBdr>
        <w:top w:val="none" w:sz="0" w:space="0" w:color="auto"/>
        <w:left w:val="none" w:sz="0" w:space="0" w:color="auto"/>
        <w:bottom w:val="none" w:sz="0" w:space="0" w:color="auto"/>
        <w:right w:val="none" w:sz="0" w:space="0" w:color="auto"/>
      </w:divBdr>
    </w:div>
    <w:div w:id="2133590829">
      <w:bodyDiv w:val="1"/>
      <w:marLeft w:val="0"/>
      <w:marRight w:val="0"/>
      <w:marTop w:val="0"/>
      <w:marBottom w:val="0"/>
      <w:divBdr>
        <w:top w:val="none" w:sz="0" w:space="0" w:color="auto"/>
        <w:left w:val="none" w:sz="0" w:space="0" w:color="auto"/>
        <w:bottom w:val="none" w:sz="0" w:space="0" w:color="auto"/>
        <w:right w:val="none" w:sz="0" w:space="0" w:color="auto"/>
      </w:divBdr>
    </w:div>
    <w:div w:id="2134126766">
      <w:bodyDiv w:val="1"/>
      <w:marLeft w:val="0"/>
      <w:marRight w:val="0"/>
      <w:marTop w:val="0"/>
      <w:marBottom w:val="0"/>
      <w:divBdr>
        <w:top w:val="none" w:sz="0" w:space="0" w:color="auto"/>
        <w:left w:val="none" w:sz="0" w:space="0" w:color="auto"/>
        <w:bottom w:val="none" w:sz="0" w:space="0" w:color="auto"/>
        <w:right w:val="none" w:sz="0" w:space="0" w:color="auto"/>
      </w:divBdr>
    </w:div>
    <w:div w:id="213956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4.emf"/><Relationship Id="rId26" Type="http://schemas.openxmlformats.org/officeDocument/2006/relationships/footer" Target="footer7.xml"/><Relationship Id="rId39" Type="http://schemas.microsoft.com/office/2007/relationships/hdphoto" Target="media/hdphoto6.wdp"/><Relationship Id="rId21" Type="http://schemas.openxmlformats.org/officeDocument/2006/relationships/footer" Target="footer5.xml"/><Relationship Id="rId34" Type="http://schemas.openxmlformats.org/officeDocument/2006/relationships/image" Target="media/image11.png"/><Relationship Id="rId42" Type="http://schemas.openxmlformats.org/officeDocument/2006/relationships/image" Target="media/image16.png"/><Relationship Id="rId47" Type="http://schemas.openxmlformats.org/officeDocument/2006/relationships/image" Target="media/image21.emf"/><Relationship Id="rId50" Type="http://schemas.openxmlformats.org/officeDocument/2006/relationships/image" Target="media/image24.png"/><Relationship Id="rId55" Type="http://schemas.openxmlformats.org/officeDocument/2006/relationships/chart" Target="charts/chart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9" Type="http://schemas.microsoft.com/office/2007/relationships/hdphoto" Target="media/hdphoto1.wdp"/><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image" Target="media/image10.png"/><Relationship Id="rId37" Type="http://schemas.microsoft.com/office/2007/relationships/hdphoto" Target="media/hdphoto5.wdp"/><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chart" Target="charts/chart2.xml"/><Relationship Id="rId58" Type="http://schemas.openxmlformats.org/officeDocument/2006/relationships/header" Target="header6.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5.emf"/><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image" Target="media/image7.emf"/><Relationship Id="rId30" Type="http://schemas.openxmlformats.org/officeDocument/2006/relationships/image" Target="media/image9.png"/><Relationship Id="rId35" Type="http://schemas.microsoft.com/office/2007/relationships/hdphoto" Target="media/hdphoto4.wdp"/><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27.jpeg"/><Relationship Id="rId8" Type="http://schemas.openxmlformats.org/officeDocument/2006/relationships/endnotes" Target="endnotes.xml"/><Relationship Id="rId51"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footer" Target="footer4.xml"/><Relationship Id="rId25" Type="http://schemas.openxmlformats.org/officeDocument/2006/relationships/header" Target="header5.xml"/><Relationship Id="rId33" Type="http://schemas.microsoft.com/office/2007/relationships/hdphoto" Target="media/hdphoto3.wdp"/><Relationship Id="rId38" Type="http://schemas.openxmlformats.org/officeDocument/2006/relationships/image" Target="media/image13.png"/><Relationship Id="rId46" Type="http://schemas.openxmlformats.org/officeDocument/2006/relationships/image" Target="media/image20.png"/><Relationship Id="rId59" Type="http://schemas.openxmlformats.org/officeDocument/2006/relationships/footer" Target="footer8.xml"/><Relationship Id="rId20" Type="http://schemas.openxmlformats.org/officeDocument/2006/relationships/header" Target="header3.xml"/><Relationship Id="rId41" Type="http://schemas.openxmlformats.org/officeDocument/2006/relationships/image" Target="media/image15.png"/><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image" Target="media/image23.png"/><Relationship Id="rId57" Type="http://schemas.openxmlformats.org/officeDocument/2006/relationships/chart" Target="charts/chart4.xml"/><Relationship Id="rId10" Type="http://schemas.openxmlformats.org/officeDocument/2006/relationships/footer" Target="footer1.xml"/><Relationship Id="rId31" Type="http://schemas.microsoft.com/office/2007/relationships/hdphoto" Target="media/hdphoto2.wdp"/><Relationship Id="rId44" Type="http://schemas.openxmlformats.org/officeDocument/2006/relationships/image" Target="media/image18.emf"/><Relationship Id="rId52" Type="http://schemas.openxmlformats.org/officeDocument/2006/relationships/image" Target="media/image25.emf"/><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SRV-DATA1\Finances\Collaboratif%20Finances\2.1_ETAPES%20BUDGETAIRES\2017\3_CA\Rapport\CA2017%20-%20Tableaux%20pr&#233;paratoires%20v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RV-DATA1\Finances\Collaboratif%20Finances\2.1_ETAPES%20BUDGETAIRES\2017\3_CA\Rapport\CA2017%20-%20Tableaux%20pr&#233;paratoires%20v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RV-DATA1\Finances\Collaboratif%20Finances\2.1_ETAPES%20BUDGETAIRES\2017\3_CA\Rapport\CA2017%20-%20Tableaux%20pr&#233;paratoires%20v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6.4350764749290523E-2"/>
          <c:y val="3.8803034189116153E-2"/>
          <c:w val="0.89655150270098483"/>
          <c:h val="0.87364205066448564"/>
        </c:manualLayout>
      </c:layout>
      <c:barChart>
        <c:barDir val="col"/>
        <c:grouping val="stacked"/>
        <c:varyColors val="0"/>
        <c:ser>
          <c:idx val="0"/>
          <c:order val="0"/>
          <c:tx>
            <c:strRef>
              <c:f>Dette!$B$26</c:f>
              <c:strCache>
                <c:ptCount val="1"/>
                <c:pt idx="0">
                  <c:v>Budget principal</c:v>
                </c:pt>
              </c:strCache>
            </c:strRef>
          </c:tx>
          <c:spPr>
            <a:solidFill>
              <a:schemeClr val="tx1"/>
            </a:solidFill>
            <a:ln>
              <a:solidFill>
                <a:schemeClr val="tx1"/>
              </a:solidFill>
            </a:ln>
          </c:spPr>
          <c:invertIfNegative val="0"/>
          <c:dLbls>
            <c:spPr>
              <a:solidFill>
                <a:schemeClr val="bg1"/>
              </a:solidFill>
              <a:ln>
                <a:solidFill>
                  <a:schemeClr val="tx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Dette!$C$25:$J$25</c:f>
              <c:numCache>
                <c:formatCode>#,##0</c:formatCode>
                <c:ptCount val="8"/>
                <c:pt idx="0">
                  <c:v>2010</c:v>
                </c:pt>
                <c:pt idx="1">
                  <c:v>2011</c:v>
                </c:pt>
                <c:pt idx="2">
                  <c:v>2012</c:v>
                </c:pt>
                <c:pt idx="3">
                  <c:v>2013</c:v>
                </c:pt>
                <c:pt idx="4">
                  <c:v>2014</c:v>
                </c:pt>
                <c:pt idx="5">
                  <c:v>2015</c:v>
                </c:pt>
                <c:pt idx="6">
                  <c:v>2016</c:v>
                </c:pt>
                <c:pt idx="7">
                  <c:v>2017</c:v>
                </c:pt>
              </c:numCache>
            </c:numRef>
          </c:cat>
          <c:val>
            <c:numRef>
              <c:f>Dette!$C$26:$J$26</c:f>
              <c:numCache>
                <c:formatCode>_-* #,##0.00,,"M€"</c:formatCode>
                <c:ptCount val="8"/>
                <c:pt idx="1">
                  <c:v>19200000</c:v>
                </c:pt>
                <c:pt idx="2">
                  <c:v>30671526.649999999</c:v>
                </c:pt>
                <c:pt idx="3">
                  <c:v>34405880.75</c:v>
                </c:pt>
                <c:pt idx="4">
                  <c:v>36246597.450000003</c:v>
                </c:pt>
                <c:pt idx="5">
                  <c:v>39018957.520000003</c:v>
                </c:pt>
                <c:pt idx="6">
                  <c:v>47313737.439999998</c:v>
                </c:pt>
                <c:pt idx="7">
                  <c:v>51355403.32</c:v>
                </c:pt>
              </c:numCache>
            </c:numRef>
          </c:val>
          <c:extLst xmlns:c16r2="http://schemas.microsoft.com/office/drawing/2015/06/chart">
            <c:ext xmlns:c16="http://schemas.microsoft.com/office/drawing/2014/chart" uri="{C3380CC4-5D6E-409C-BE32-E72D297353CC}">
              <c16:uniqueId val="{00000000-5F14-4A68-88D9-0156A1EB4486}"/>
            </c:ext>
          </c:extLst>
        </c:ser>
        <c:ser>
          <c:idx val="1"/>
          <c:order val="1"/>
          <c:tx>
            <c:strRef>
              <c:f>Dette!$B$27</c:f>
              <c:strCache>
                <c:ptCount val="1"/>
                <c:pt idx="0">
                  <c:v>Budget annexe assainissement</c:v>
                </c:pt>
              </c:strCache>
            </c:strRef>
          </c:tx>
          <c:spPr>
            <a:ln>
              <a:solidFill>
                <a:schemeClr val="tx1"/>
              </a:solidFill>
            </a:ln>
          </c:spPr>
          <c:invertIfNegative val="0"/>
          <c:dLbls>
            <c:spPr>
              <a:solidFill>
                <a:schemeClr val="bg1"/>
              </a:solidFill>
              <a:ln>
                <a:solidFill>
                  <a:schemeClr val="tx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Dette!$C$25:$J$25</c:f>
              <c:numCache>
                <c:formatCode>#,##0</c:formatCode>
                <c:ptCount val="8"/>
                <c:pt idx="0">
                  <c:v>2010</c:v>
                </c:pt>
                <c:pt idx="1">
                  <c:v>2011</c:v>
                </c:pt>
                <c:pt idx="2">
                  <c:v>2012</c:v>
                </c:pt>
                <c:pt idx="3">
                  <c:v>2013</c:v>
                </c:pt>
                <c:pt idx="4">
                  <c:v>2014</c:v>
                </c:pt>
                <c:pt idx="5">
                  <c:v>2015</c:v>
                </c:pt>
                <c:pt idx="6">
                  <c:v>2016</c:v>
                </c:pt>
                <c:pt idx="7">
                  <c:v>2017</c:v>
                </c:pt>
              </c:numCache>
            </c:numRef>
          </c:cat>
          <c:val>
            <c:numRef>
              <c:f>Dette!$C$27:$J$27</c:f>
              <c:numCache>
                <c:formatCode>_-* #,##0.00,,"M€"</c:formatCode>
                <c:ptCount val="8"/>
                <c:pt idx="0">
                  <c:v>14174305.960000001</c:v>
                </c:pt>
                <c:pt idx="1">
                  <c:v>13444251.85</c:v>
                </c:pt>
                <c:pt idx="2">
                  <c:v>12990646.439999999</c:v>
                </c:pt>
                <c:pt idx="3">
                  <c:v>12699393.199999999</c:v>
                </c:pt>
                <c:pt idx="4">
                  <c:v>11742057.199999999</c:v>
                </c:pt>
                <c:pt idx="5">
                  <c:v>11537919.960000001</c:v>
                </c:pt>
                <c:pt idx="6">
                  <c:v>11233510.460000001</c:v>
                </c:pt>
                <c:pt idx="7">
                  <c:v>14942835.85</c:v>
                </c:pt>
              </c:numCache>
            </c:numRef>
          </c:val>
          <c:extLst xmlns:c16r2="http://schemas.microsoft.com/office/drawing/2015/06/chart">
            <c:ext xmlns:c16="http://schemas.microsoft.com/office/drawing/2014/chart" uri="{C3380CC4-5D6E-409C-BE32-E72D297353CC}">
              <c16:uniqueId val="{00000001-5F14-4A68-88D9-0156A1EB4486}"/>
            </c:ext>
          </c:extLst>
        </c:ser>
        <c:ser>
          <c:idx val="2"/>
          <c:order val="2"/>
          <c:tx>
            <c:strRef>
              <c:f>Dette!$B$28</c:f>
              <c:strCache>
                <c:ptCount val="1"/>
                <c:pt idx="0">
                  <c:v>Budget annexe projets d'aménagement</c:v>
                </c:pt>
              </c:strCache>
            </c:strRef>
          </c:tx>
          <c:spPr>
            <a:solidFill>
              <a:schemeClr val="bg1"/>
            </a:solidFill>
            <a:ln>
              <a:solidFill>
                <a:schemeClr val="tx1"/>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Dette!$C$25:$J$25</c:f>
              <c:numCache>
                <c:formatCode>#,##0</c:formatCode>
                <c:ptCount val="8"/>
                <c:pt idx="0">
                  <c:v>2010</c:v>
                </c:pt>
                <c:pt idx="1">
                  <c:v>2011</c:v>
                </c:pt>
                <c:pt idx="2">
                  <c:v>2012</c:v>
                </c:pt>
                <c:pt idx="3">
                  <c:v>2013</c:v>
                </c:pt>
                <c:pt idx="4">
                  <c:v>2014</c:v>
                </c:pt>
                <c:pt idx="5">
                  <c:v>2015</c:v>
                </c:pt>
                <c:pt idx="6">
                  <c:v>2016</c:v>
                </c:pt>
                <c:pt idx="7">
                  <c:v>2017</c:v>
                </c:pt>
              </c:numCache>
            </c:numRef>
          </c:cat>
          <c:val>
            <c:numRef>
              <c:f>Dette!$C$28:$J$28</c:f>
              <c:numCache>
                <c:formatCode>General</c:formatCode>
                <c:ptCount val="8"/>
                <c:pt idx="3" formatCode="_-* #,##0.00,,&quot;M€&quot;">
                  <c:v>4015000</c:v>
                </c:pt>
                <c:pt idx="4" formatCode="_-* #,##0.00,,&quot;M€&quot;">
                  <c:v>7715000</c:v>
                </c:pt>
                <c:pt idx="5" formatCode="_-* #,##0.00,,&quot;M€&quot;">
                  <c:v>10386032</c:v>
                </c:pt>
                <c:pt idx="6" formatCode="_-* #,##0.00,,&quot;M€&quot;">
                  <c:v>11430972.49</c:v>
                </c:pt>
                <c:pt idx="7" formatCode="_-* #,##0.00,,&quot;M€&quot;">
                  <c:v>21205337.59</c:v>
                </c:pt>
              </c:numCache>
            </c:numRef>
          </c:val>
          <c:extLst xmlns:c16r2="http://schemas.microsoft.com/office/drawing/2015/06/chart">
            <c:ext xmlns:c16="http://schemas.microsoft.com/office/drawing/2014/chart" uri="{C3380CC4-5D6E-409C-BE32-E72D297353CC}">
              <c16:uniqueId val="{00000002-5F14-4A68-88D9-0156A1EB4486}"/>
            </c:ext>
          </c:extLst>
        </c:ser>
        <c:dLbls>
          <c:showLegendKey val="0"/>
          <c:showVal val="0"/>
          <c:showCatName val="0"/>
          <c:showSerName val="0"/>
          <c:showPercent val="0"/>
          <c:showBubbleSize val="0"/>
        </c:dLbls>
        <c:gapWidth val="15"/>
        <c:overlap val="100"/>
        <c:axId val="274063872"/>
        <c:axId val="197873024"/>
      </c:barChart>
      <c:catAx>
        <c:axId val="274063872"/>
        <c:scaling>
          <c:orientation val="minMax"/>
        </c:scaling>
        <c:delete val="0"/>
        <c:axPos val="b"/>
        <c:numFmt formatCode="#,##0" sourceLinked="1"/>
        <c:majorTickMark val="out"/>
        <c:minorTickMark val="none"/>
        <c:tickLblPos val="nextTo"/>
        <c:crossAx val="197873024"/>
        <c:crosses val="autoZero"/>
        <c:auto val="1"/>
        <c:lblAlgn val="ctr"/>
        <c:lblOffset val="100"/>
        <c:noMultiLvlLbl val="0"/>
      </c:catAx>
      <c:valAx>
        <c:axId val="197873024"/>
        <c:scaling>
          <c:orientation val="minMax"/>
        </c:scaling>
        <c:delete val="0"/>
        <c:axPos val="l"/>
        <c:numFmt formatCode="_-* #,##0,,&quot;M€&quot;" sourceLinked="0"/>
        <c:majorTickMark val="out"/>
        <c:minorTickMark val="none"/>
        <c:tickLblPos val="nextTo"/>
        <c:crossAx val="274063872"/>
        <c:crosses val="autoZero"/>
        <c:crossBetween val="between"/>
      </c:valAx>
    </c:plotArea>
    <c:legend>
      <c:legendPos val="r"/>
      <c:layout>
        <c:manualLayout>
          <c:xMode val="edge"/>
          <c:yMode val="edge"/>
          <c:x val="9.8567753684814671E-2"/>
          <c:y val="8.0168133088666688E-2"/>
          <c:w val="0.34036039055867384"/>
          <c:h val="0.31628647571074592"/>
        </c:manualLayout>
      </c:layout>
      <c:overlay val="0"/>
    </c:legend>
    <c:plotVisOnly val="1"/>
    <c:dispBlanksAs val="gap"/>
    <c:showDLblsOverMax val="0"/>
  </c:chart>
  <c:spPr>
    <a:ln>
      <a:noFill/>
    </a:ln>
  </c:spPr>
  <c:txPr>
    <a:bodyPr/>
    <a:lstStyle/>
    <a:p>
      <a:pPr>
        <a:defRPr>
          <a:latin typeface="Garamond" pitchFamily="18" charset="0"/>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0"/>
    <c:plotArea>
      <c:layout>
        <c:manualLayout>
          <c:layoutTarget val="inner"/>
          <c:xMode val="edge"/>
          <c:yMode val="edge"/>
          <c:x val="0.10279578689027506"/>
          <c:y val="6.6763269174686501E-2"/>
          <c:w val="0.79289327470429838"/>
          <c:h val="0.84795530766987459"/>
        </c:manualLayout>
      </c:layout>
      <c:pieChart>
        <c:varyColors val="1"/>
        <c:ser>
          <c:idx val="0"/>
          <c:order val="0"/>
          <c:dLbls>
            <c:dLbl>
              <c:idx val="1"/>
              <c:layout>
                <c:manualLayout>
                  <c:x val="-3.9968503937007877E-2"/>
                  <c:y val="-0.23981481481481481"/>
                </c:manualLayout>
              </c:layout>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383-40F3-87A1-1466CEA4A9CF}"/>
                </c:ext>
              </c:extLst>
            </c:dLbl>
            <c:dLbl>
              <c:idx val="2"/>
              <c:layout>
                <c:manualLayout>
                  <c:x val="0.16913407699037619"/>
                  <c:y val="0.11690653251676873"/>
                </c:manualLayout>
              </c:layout>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383-40F3-87A1-1466CEA4A9CF}"/>
                </c:ext>
              </c:extLst>
            </c:dLbl>
            <c:spPr>
              <a:solidFill>
                <a:schemeClr val="bg1"/>
              </a:solidFill>
              <a:ln>
                <a:solidFill>
                  <a:schemeClr val="tx1"/>
                </a:solidFill>
              </a:ln>
            </c:spPr>
            <c:showLegendKey val="0"/>
            <c:showVal val="1"/>
            <c:showCatName val="1"/>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Dette!$B$70:$B$72</c:f>
              <c:strCache>
                <c:ptCount val="3"/>
                <c:pt idx="0">
                  <c:v>Fixe</c:v>
                </c:pt>
                <c:pt idx="1">
                  <c:v>Variable</c:v>
                </c:pt>
                <c:pt idx="2">
                  <c:v>Livret A</c:v>
                </c:pt>
              </c:strCache>
            </c:strRef>
          </c:cat>
          <c:val>
            <c:numRef>
              <c:f>Dette!$F$70:$F$72</c:f>
              <c:numCache>
                <c:formatCode>#,##0.00" M€"</c:formatCode>
                <c:ptCount val="3"/>
                <c:pt idx="0">
                  <c:v>46.319139999999997</c:v>
                </c:pt>
                <c:pt idx="1">
                  <c:v>22.248684999999998</c:v>
                </c:pt>
                <c:pt idx="2">
                  <c:v>18.935751</c:v>
                </c:pt>
              </c:numCache>
            </c:numRef>
          </c:val>
          <c:extLst xmlns:c16r2="http://schemas.microsoft.com/office/drawing/2015/06/chart">
            <c:ext xmlns:c16="http://schemas.microsoft.com/office/drawing/2014/chart" uri="{C3380CC4-5D6E-409C-BE32-E72D297353CC}">
              <c16:uniqueId val="{00000002-9383-40F3-87A1-1466CEA4A9CF}"/>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a:latin typeface="Garamond" pitchFamily="18" charset="0"/>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764882650538244E-2"/>
          <c:y val="5.1400554097404488E-2"/>
          <c:w val="0.86502734984213925"/>
          <c:h val="0.79523549139690874"/>
        </c:manualLayout>
      </c:layout>
      <c:barChart>
        <c:barDir val="col"/>
        <c:grouping val="stacked"/>
        <c:varyColors val="0"/>
        <c:ser>
          <c:idx val="0"/>
          <c:order val="0"/>
          <c:tx>
            <c:strRef>
              <c:f>Dette!$D$97</c:f>
              <c:strCache>
                <c:ptCount val="1"/>
                <c:pt idx="0">
                  <c:v> Capital amorti</c:v>
                </c:pt>
              </c:strCache>
            </c:strRef>
          </c:tx>
          <c:spPr>
            <a:solidFill>
              <a:schemeClr val="tx1">
                <a:lumMod val="95000"/>
                <a:lumOff val="5000"/>
              </a:schemeClr>
            </a:solidFill>
            <a:ln>
              <a:solidFill>
                <a:schemeClr val="tx1"/>
              </a:solidFill>
            </a:ln>
          </c:spPr>
          <c:invertIfNegative val="0"/>
          <c:cat>
            <c:numRef>
              <c:f>Dette!$B$98:$B$120</c:f>
              <c:numCache>
                <c:formatCode>0;\-0</c:formatCode>
                <c:ptCount val="23"/>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numCache>
            </c:numRef>
          </c:cat>
          <c:val>
            <c:numRef>
              <c:f>Dette!$D$98:$D$120</c:f>
              <c:numCache>
                <c:formatCode>#\ ###\ ###\ ##0.00\ "€";\-#\ ###\ ###\ ##0.00\ "€"</c:formatCode>
                <c:ptCount val="23"/>
                <c:pt idx="0">
                  <c:v>5038587.63</c:v>
                </c:pt>
                <c:pt idx="1">
                  <c:v>6012824.71</c:v>
                </c:pt>
                <c:pt idx="2">
                  <c:v>6248197.04</c:v>
                </c:pt>
                <c:pt idx="3">
                  <c:v>6280637.6799999997</c:v>
                </c:pt>
                <c:pt idx="4">
                  <c:v>6255280.3099999996</c:v>
                </c:pt>
                <c:pt idx="5">
                  <c:v>11206535.73</c:v>
                </c:pt>
                <c:pt idx="6">
                  <c:v>5708269.0700000003</c:v>
                </c:pt>
                <c:pt idx="7">
                  <c:v>5649941.21</c:v>
                </c:pt>
                <c:pt idx="8">
                  <c:v>5643837.9400000004</c:v>
                </c:pt>
                <c:pt idx="9">
                  <c:v>5667262.7300000004</c:v>
                </c:pt>
                <c:pt idx="10">
                  <c:v>5014123.38</c:v>
                </c:pt>
                <c:pt idx="11">
                  <c:v>3928248.48</c:v>
                </c:pt>
                <c:pt idx="12">
                  <c:v>3811818.38</c:v>
                </c:pt>
                <c:pt idx="13">
                  <c:v>3240972.75</c:v>
                </c:pt>
                <c:pt idx="14">
                  <c:v>2976882.27</c:v>
                </c:pt>
                <c:pt idx="15">
                  <c:v>1889076.85</c:v>
                </c:pt>
                <c:pt idx="16">
                  <c:v>953139.46</c:v>
                </c:pt>
                <c:pt idx="17">
                  <c:v>719806.52</c:v>
                </c:pt>
                <c:pt idx="18">
                  <c:v>719806.52</c:v>
                </c:pt>
                <c:pt idx="19">
                  <c:v>228283.49</c:v>
                </c:pt>
                <c:pt idx="20">
                  <c:v>64440.88</c:v>
                </c:pt>
                <c:pt idx="21">
                  <c:v>64440.88</c:v>
                </c:pt>
                <c:pt idx="22">
                  <c:v>64440.480000000003</c:v>
                </c:pt>
              </c:numCache>
            </c:numRef>
          </c:val>
          <c:extLst xmlns:c16r2="http://schemas.microsoft.com/office/drawing/2015/06/chart">
            <c:ext xmlns:c16="http://schemas.microsoft.com/office/drawing/2014/chart" uri="{C3380CC4-5D6E-409C-BE32-E72D297353CC}">
              <c16:uniqueId val="{00000000-CFC2-44C9-9B2F-8EDC883F306E}"/>
            </c:ext>
          </c:extLst>
        </c:ser>
        <c:ser>
          <c:idx val="1"/>
          <c:order val="1"/>
          <c:tx>
            <c:strRef>
              <c:f>Dette!$E$97</c:f>
              <c:strCache>
                <c:ptCount val="1"/>
                <c:pt idx="0">
                  <c:v> Intérêts</c:v>
                </c:pt>
              </c:strCache>
            </c:strRef>
          </c:tx>
          <c:spPr>
            <a:solidFill>
              <a:schemeClr val="bg1"/>
            </a:solidFill>
            <a:ln>
              <a:solidFill>
                <a:schemeClr val="tx1"/>
              </a:solidFill>
            </a:ln>
          </c:spPr>
          <c:invertIfNegative val="0"/>
          <c:cat>
            <c:numRef>
              <c:f>Dette!$B$98:$B$120</c:f>
              <c:numCache>
                <c:formatCode>0;\-0</c:formatCode>
                <c:ptCount val="23"/>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numCache>
            </c:numRef>
          </c:cat>
          <c:val>
            <c:numRef>
              <c:f>Dette!$E$98:$E$120</c:f>
              <c:numCache>
                <c:formatCode>#\ ###\ ###\ ##0.00\ "€";\-#\ ###\ ###\ ##0.00\ "€"</c:formatCode>
                <c:ptCount val="23"/>
                <c:pt idx="0">
                  <c:v>1411533.6</c:v>
                </c:pt>
                <c:pt idx="1">
                  <c:v>1430801.68</c:v>
                </c:pt>
                <c:pt idx="2">
                  <c:v>1334553.1000000001</c:v>
                </c:pt>
                <c:pt idx="3">
                  <c:v>1253841.18</c:v>
                </c:pt>
                <c:pt idx="4">
                  <c:v>1175125.8999999999</c:v>
                </c:pt>
                <c:pt idx="5">
                  <c:v>1079409.78</c:v>
                </c:pt>
                <c:pt idx="6">
                  <c:v>825472.25</c:v>
                </c:pt>
                <c:pt idx="7">
                  <c:v>733851.78</c:v>
                </c:pt>
                <c:pt idx="8">
                  <c:v>629389.35</c:v>
                </c:pt>
                <c:pt idx="9">
                  <c:v>523267.26</c:v>
                </c:pt>
                <c:pt idx="10">
                  <c:v>410171.07</c:v>
                </c:pt>
                <c:pt idx="11">
                  <c:v>317843.73</c:v>
                </c:pt>
                <c:pt idx="12">
                  <c:v>248046.15</c:v>
                </c:pt>
                <c:pt idx="13">
                  <c:v>186524.44</c:v>
                </c:pt>
                <c:pt idx="14">
                  <c:v>141381.07999999999</c:v>
                </c:pt>
                <c:pt idx="15">
                  <c:v>104847</c:v>
                </c:pt>
                <c:pt idx="16">
                  <c:v>74620.149999999994</c:v>
                </c:pt>
                <c:pt idx="17">
                  <c:v>50996.53</c:v>
                </c:pt>
                <c:pt idx="18">
                  <c:v>27900.34</c:v>
                </c:pt>
                <c:pt idx="19">
                  <c:v>8772.52</c:v>
                </c:pt>
                <c:pt idx="20">
                  <c:v>5383.19</c:v>
                </c:pt>
                <c:pt idx="21">
                  <c:v>3331.65</c:v>
                </c:pt>
                <c:pt idx="22">
                  <c:v>1280.0999999999999</c:v>
                </c:pt>
              </c:numCache>
            </c:numRef>
          </c:val>
          <c:extLst xmlns:c16r2="http://schemas.microsoft.com/office/drawing/2015/06/chart">
            <c:ext xmlns:c16="http://schemas.microsoft.com/office/drawing/2014/chart" uri="{C3380CC4-5D6E-409C-BE32-E72D297353CC}">
              <c16:uniqueId val="{00000001-CFC2-44C9-9B2F-8EDC883F306E}"/>
            </c:ext>
          </c:extLst>
        </c:ser>
        <c:dLbls>
          <c:showLegendKey val="0"/>
          <c:showVal val="0"/>
          <c:showCatName val="0"/>
          <c:showSerName val="0"/>
          <c:showPercent val="0"/>
          <c:showBubbleSize val="0"/>
        </c:dLbls>
        <c:gapWidth val="20"/>
        <c:overlap val="100"/>
        <c:axId val="274065920"/>
        <c:axId val="138191424"/>
      </c:barChart>
      <c:catAx>
        <c:axId val="274065920"/>
        <c:scaling>
          <c:orientation val="minMax"/>
        </c:scaling>
        <c:delete val="0"/>
        <c:axPos val="b"/>
        <c:numFmt formatCode="0;\-0" sourceLinked="1"/>
        <c:majorTickMark val="out"/>
        <c:minorTickMark val="none"/>
        <c:tickLblPos val="nextTo"/>
        <c:crossAx val="138191424"/>
        <c:crosses val="autoZero"/>
        <c:auto val="1"/>
        <c:lblAlgn val="ctr"/>
        <c:lblOffset val="100"/>
        <c:noMultiLvlLbl val="0"/>
      </c:catAx>
      <c:valAx>
        <c:axId val="138191424"/>
        <c:scaling>
          <c:orientation val="minMax"/>
        </c:scaling>
        <c:delete val="0"/>
        <c:axPos val="l"/>
        <c:numFmt formatCode="_-* #,##0,,&quot;M€&quot;" sourceLinked="0"/>
        <c:majorTickMark val="out"/>
        <c:minorTickMark val="none"/>
        <c:tickLblPos val="nextTo"/>
        <c:crossAx val="274065920"/>
        <c:crosses val="autoZero"/>
        <c:crossBetween val="between"/>
      </c:valAx>
    </c:plotArea>
    <c:legend>
      <c:legendPos val="r"/>
      <c:layout>
        <c:manualLayout>
          <c:xMode val="edge"/>
          <c:yMode val="edge"/>
          <c:x val="0.63131454220396366"/>
          <c:y val="0.20794947506561678"/>
          <c:w val="0.13324171671015797"/>
          <c:h val="0.15936789151356082"/>
        </c:manualLayout>
      </c:layout>
      <c:overlay val="0"/>
    </c:legend>
    <c:plotVisOnly val="1"/>
    <c:dispBlanksAs val="gap"/>
    <c:showDLblsOverMax val="0"/>
  </c:chart>
  <c:spPr>
    <a:ln>
      <a:noFill/>
    </a:ln>
  </c:spPr>
  <c:txPr>
    <a:bodyPr/>
    <a:lstStyle/>
    <a:p>
      <a:pPr>
        <a:defRPr>
          <a:latin typeface="Garamond" pitchFamily="18" charset="0"/>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fr-FR"/>
              <a:t>Flux Mensuel</a:t>
            </a:r>
          </a:p>
        </c:rich>
      </c:tx>
      <c:layout/>
      <c:overlay val="0"/>
      <c:spPr>
        <a:noFill/>
        <a:ln>
          <a:noFill/>
        </a:ln>
      </c:spPr>
    </c:title>
    <c:autoTitleDeleted val="0"/>
    <c:plotArea>
      <c:layout/>
      <c:lineChart>
        <c:grouping val="standard"/>
        <c:varyColors val="0"/>
        <c:ser>
          <c:idx val="0"/>
          <c:order val="0"/>
          <c:tx>
            <c:v>Somme de Encaissement</c:v>
          </c:tx>
          <c:spPr>
            <a:ln w="28575">
              <a:solidFill>
                <a:srgbClr val="4A7EBB"/>
              </a:solidFill>
              <a:prstDash val="solid"/>
              <a:round/>
            </a:ln>
          </c:spPr>
          <c:marker>
            <c:symbol val="none"/>
          </c:marker>
          <c:cat>
            <c:strLit>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Lit>
          </c:cat>
          <c:val>
            <c:numLit>
              <c:formatCode>General</c:formatCode>
              <c:ptCount val="12"/>
              <c:pt idx="0">
                <c:v>20449831.800000001</c:v>
              </c:pt>
              <c:pt idx="1">
                <c:v>24918203.440000001</c:v>
              </c:pt>
              <c:pt idx="2">
                <c:v>29271841.579999991</c:v>
              </c:pt>
              <c:pt idx="3">
                <c:v>20664089.480000019</c:v>
              </c:pt>
              <c:pt idx="4">
                <c:v>19528980.86999999</c:v>
              </c:pt>
              <c:pt idx="5">
                <c:v>24531298.029999986</c:v>
              </c:pt>
              <c:pt idx="6">
                <c:v>23925602.920000017</c:v>
              </c:pt>
              <c:pt idx="7">
                <c:v>31336923.269999981</c:v>
              </c:pt>
              <c:pt idx="8">
                <c:v>24778761.26000002</c:v>
              </c:pt>
              <c:pt idx="9">
                <c:v>25496104.229999989</c:v>
              </c:pt>
              <c:pt idx="10">
                <c:v>25235802.420000017</c:v>
              </c:pt>
              <c:pt idx="11">
                <c:v>32933411.25</c:v>
              </c:pt>
            </c:numLit>
          </c:val>
          <c:smooth val="0"/>
        </c:ser>
        <c:ser>
          <c:idx val="1"/>
          <c:order val="1"/>
          <c:tx>
            <c:v>Somme de Décaissement</c:v>
          </c:tx>
          <c:spPr>
            <a:ln w="28575">
              <a:solidFill>
                <a:srgbClr val="BE4B48"/>
              </a:solidFill>
              <a:prstDash val="sysDash"/>
              <a:round/>
            </a:ln>
          </c:spPr>
          <c:marker>
            <c:symbol val="none"/>
          </c:marker>
          <c:cat>
            <c:strLit>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Lit>
          </c:cat>
          <c:val>
            <c:numLit>
              <c:formatCode>General</c:formatCode>
              <c:ptCount val="12"/>
              <c:pt idx="0">
                <c:v>20817551.5</c:v>
              </c:pt>
              <c:pt idx="1">
                <c:v>20129112.859999999</c:v>
              </c:pt>
              <c:pt idx="2">
                <c:v>23419801.960000001</c:v>
              </c:pt>
              <c:pt idx="3">
                <c:v>17362483.419999994</c:v>
              </c:pt>
              <c:pt idx="4">
                <c:v>27593214</c:v>
              </c:pt>
              <c:pt idx="5">
                <c:v>33566491.570000008</c:v>
              </c:pt>
              <c:pt idx="6">
                <c:v>26538007.570000023</c:v>
              </c:pt>
              <c:pt idx="7">
                <c:v>23692267.650000006</c:v>
              </c:pt>
              <c:pt idx="8">
                <c:v>23774446.129999995</c:v>
              </c:pt>
              <c:pt idx="9">
                <c:v>29702702.430000007</c:v>
              </c:pt>
              <c:pt idx="10">
                <c:v>27127092.780000001</c:v>
              </c:pt>
              <c:pt idx="11">
                <c:v>24930078.040000021</c:v>
              </c:pt>
            </c:numLit>
          </c:val>
          <c:smooth val="0"/>
        </c:ser>
        <c:dLbls>
          <c:showLegendKey val="0"/>
          <c:showVal val="0"/>
          <c:showCatName val="0"/>
          <c:showSerName val="0"/>
          <c:showPercent val="0"/>
          <c:showBubbleSize val="0"/>
        </c:dLbls>
        <c:marker val="1"/>
        <c:smooth val="0"/>
        <c:axId val="275868160"/>
        <c:axId val="138185536"/>
      </c:lineChart>
      <c:valAx>
        <c:axId val="138185536"/>
        <c:scaling>
          <c:orientation val="minMax"/>
        </c:scaling>
        <c:delete val="0"/>
        <c:axPos val="l"/>
        <c:majorGridlines>
          <c:spPr>
            <a:ln w="9528">
              <a:solidFill>
                <a:srgbClr val="868686"/>
              </a:solidFill>
              <a:prstDash val="solid"/>
              <a:round/>
            </a:ln>
          </c:spPr>
        </c:majorGridlines>
        <c:numFmt formatCode="_-* #,##0.00,,&quot;M€&quot;" sourceLinked="0"/>
        <c:majorTickMark val="none"/>
        <c:minorTickMark val="none"/>
        <c:tickLblPos val="nextTo"/>
        <c:spPr>
          <a:noFill/>
          <a:ln>
            <a:noFill/>
          </a:ln>
        </c:spPr>
        <c:crossAx val="275868160"/>
        <c:crosses val="autoZero"/>
        <c:crossBetween val="between"/>
      </c:valAx>
      <c:catAx>
        <c:axId val="275868160"/>
        <c:scaling>
          <c:orientation val="minMax"/>
        </c:scaling>
        <c:delete val="0"/>
        <c:axPos val="b"/>
        <c:majorTickMark val="none"/>
        <c:minorTickMark val="none"/>
        <c:tickLblPos val="nextTo"/>
        <c:spPr>
          <a:noFill/>
          <a:ln w="9528">
            <a:solidFill>
              <a:srgbClr val="868686"/>
            </a:solidFill>
            <a:prstDash val="solid"/>
            <a:round/>
          </a:ln>
        </c:spPr>
        <c:crossAx val="138185536"/>
        <c:crosses val="autoZero"/>
        <c:auto val="1"/>
        <c:lblAlgn val="ctr"/>
        <c:lblOffset val="100"/>
        <c:noMultiLvlLbl val="0"/>
      </c:catAx>
      <c:spPr>
        <a:solidFill>
          <a:srgbClr val="FFFFFF"/>
        </a:solidFill>
        <a:ln>
          <a:noFill/>
        </a:ln>
      </c:spPr>
    </c:plotArea>
    <c:legend>
      <c:legendPos val="b"/>
      <c:layout/>
      <c:overlay val="0"/>
      <c:spPr>
        <a:noFill/>
        <a:ln>
          <a:noFill/>
        </a:ln>
      </c:spPr>
    </c:legend>
    <c:plotVisOnly val="1"/>
    <c:dispBlanksAs val="gap"/>
    <c:showDLblsOverMax val="0"/>
  </c:chart>
  <c:spPr>
    <a:solidFill>
      <a:srgbClr val="FFFFFF"/>
    </a:solidFill>
    <a:ln w="9528">
      <a:solidFill>
        <a:srgbClr val="868686"/>
      </a:solidFill>
      <a:prstDash val="solid"/>
      <a:round/>
    </a:ln>
  </c:spPr>
  <c:txPr>
    <a:bodyPr lIns="0" tIns="0" rIns="0" bIns="0"/>
    <a:lstStyle/>
    <a:p>
      <a:pPr marL="0" marR="0" indent="0" defTabSz="914400" fontAlgn="auto" hangingPunct="1">
        <a:lnSpc>
          <a:spcPct val="100000"/>
        </a:lnSpc>
        <a:spcBef>
          <a:spcPts val="0"/>
        </a:spcBef>
        <a:spcAft>
          <a:spcPts val="0"/>
        </a:spcAft>
        <a:tabLst/>
        <a:defRPr lang="fr-FR" sz="1000" b="0" i="0" u="none" strike="noStrike" kern="1200" baseline="0">
          <a:solidFill>
            <a:srgbClr val="000000"/>
          </a:solidFill>
          <a:latin typeface="Garamond" pitchFamily="18" charset="0"/>
          <a:ea typeface="Calibri"/>
          <a:cs typeface="Calibri"/>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706E9-A2EF-4084-9DFD-AAEE30654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34</Pages>
  <Words>5801</Words>
  <Characters>31910</Characters>
  <Application>Microsoft Office Word</Application>
  <DocSecurity>0</DocSecurity>
  <Lines>265</Lines>
  <Paragraphs>75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37636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Anne-Céline Imbaud</dc:creator>
  <cp:lastModifiedBy>Lena Pezennec</cp:lastModifiedBy>
  <cp:revision>10</cp:revision>
  <cp:lastPrinted>2018-03-21T15:42:00Z</cp:lastPrinted>
  <dcterms:created xsi:type="dcterms:W3CDTF">2018-03-22T13:02:00Z</dcterms:created>
  <dcterms:modified xsi:type="dcterms:W3CDTF">2018-03-22T14:07:00Z</dcterms:modified>
</cp:coreProperties>
</file>